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5C92F318" w:rsidR="00C869F3" w:rsidRDefault="00C869F3" w:rsidP="00C869F3">
      <w:pPr>
        <w:spacing w:after="480"/>
      </w:pPr>
      <w:r>
        <w:rPr>
          <w:rFonts w:ascii="Arial Black" w:hAnsi="Arial Black"/>
          <w:noProof/>
          <w:color w:val="999999"/>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1C46A0C9" w:rsidR="00333FAA" w:rsidRPr="005E3A10" w:rsidRDefault="00FB11D9" w:rsidP="00A53B04">
            <w:pPr>
              <w:rPr>
                <w:rFonts w:cs="Arial"/>
                <w:szCs w:val="24"/>
              </w:rPr>
            </w:pPr>
            <w:r>
              <w:rPr>
                <w:rFonts w:cs="Arial"/>
                <w:szCs w:val="24"/>
              </w:rPr>
              <w:t>1</w:t>
            </w:r>
            <w:r w:rsidR="00DF3B77">
              <w:rPr>
                <w:rFonts w:cs="Arial"/>
                <w:szCs w:val="24"/>
              </w:rPr>
              <w:t xml:space="preserve">1 </w:t>
            </w:r>
            <w:r>
              <w:rPr>
                <w:rFonts w:cs="Arial"/>
                <w:szCs w:val="24"/>
              </w:rPr>
              <w:t xml:space="preserve">February </w:t>
            </w:r>
            <w:r w:rsidR="00DF3B77">
              <w:rPr>
                <w:rFonts w:cs="Arial"/>
                <w:szCs w:val="24"/>
              </w:rPr>
              <w:t>2021</w:t>
            </w:r>
          </w:p>
        </w:tc>
      </w:tr>
      <w:tr w:rsidR="00835E29" w14:paraId="3CC97725" w14:textId="77777777" w:rsidTr="00EB3CF0">
        <w:tc>
          <w:tcPr>
            <w:tcW w:w="3456" w:type="dxa"/>
          </w:tcPr>
          <w:p w14:paraId="18BB8951" w14:textId="77777777" w:rsidR="00835E29" w:rsidRPr="00C13A5F" w:rsidRDefault="00835E29" w:rsidP="00835E29">
            <w:pPr>
              <w:pStyle w:val="Infotext"/>
              <w:spacing w:after="240"/>
              <w:rPr>
                <w:rFonts w:ascii="Arial Black" w:hAnsi="Arial Black"/>
              </w:rPr>
            </w:pPr>
            <w:r w:rsidRPr="00C13A5F">
              <w:rPr>
                <w:rFonts w:ascii="Arial Black" w:hAnsi="Arial Black" w:cs="Arial"/>
              </w:rPr>
              <w:t>Subject:</w:t>
            </w:r>
          </w:p>
        </w:tc>
        <w:tc>
          <w:tcPr>
            <w:tcW w:w="5054" w:type="dxa"/>
          </w:tcPr>
          <w:p w14:paraId="5D8F0782" w14:textId="31193C69" w:rsidR="00835E29" w:rsidRDefault="00835E29" w:rsidP="00835E29">
            <w:pPr>
              <w:rPr>
                <w:szCs w:val="22"/>
              </w:rPr>
            </w:pPr>
            <w:r>
              <w:rPr>
                <w:szCs w:val="22"/>
              </w:rPr>
              <w:t xml:space="preserve">Commissioning of Harrow </w:t>
            </w:r>
            <w:r w:rsidR="000D2DCC">
              <w:rPr>
                <w:szCs w:val="22"/>
              </w:rPr>
              <w:t xml:space="preserve">Community </w:t>
            </w:r>
            <w:r>
              <w:rPr>
                <w:szCs w:val="22"/>
              </w:rPr>
              <w:t xml:space="preserve">Paediatric Services </w:t>
            </w:r>
          </w:p>
          <w:p w14:paraId="6D8FB2C1" w14:textId="0B3724E4" w:rsidR="00835E29" w:rsidRPr="005E3A10" w:rsidRDefault="00835E29" w:rsidP="00835E29">
            <w:pPr>
              <w:rPr>
                <w:rFonts w:cs="Arial"/>
                <w:szCs w:val="24"/>
              </w:rPr>
            </w:pPr>
          </w:p>
        </w:tc>
      </w:tr>
      <w:tr w:rsidR="00835E29" w14:paraId="32449166" w14:textId="77777777" w:rsidTr="00EB3CF0">
        <w:tc>
          <w:tcPr>
            <w:tcW w:w="3456" w:type="dxa"/>
          </w:tcPr>
          <w:p w14:paraId="17ECA8FA" w14:textId="77777777" w:rsidR="00835E29" w:rsidRPr="00C13A5F" w:rsidRDefault="00835E29" w:rsidP="00835E29">
            <w:pPr>
              <w:pStyle w:val="Infotext"/>
              <w:spacing w:after="240"/>
              <w:rPr>
                <w:rFonts w:ascii="Arial Black" w:hAnsi="Arial Black" w:cs="Arial"/>
              </w:rPr>
            </w:pPr>
            <w:r w:rsidRPr="00C13A5F">
              <w:rPr>
                <w:rFonts w:ascii="Arial Black" w:hAnsi="Arial Black" w:cs="Arial"/>
              </w:rPr>
              <w:t>Key Decision:</w:t>
            </w:r>
          </w:p>
        </w:tc>
        <w:tc>
          <w:tcPr>
            <w:tcW w:w="5054" w:type="dxa"/>
          </w:tcPr>
          <w:p w14:paraId="766464DC" w14:textId="665D886A" w:rsidR="00835E29" w:rsidRDefault="00835E29" w:rsidP="00835E29">
            <w:pPr>
              <w:pStyle w:val="Infotext"/>
              <w:rPr>
                <w:rFonts w:cs="Arial"/>
                <w:bCs/>
                <w:color w:val="000000"/>
                <w:sz w:val="24"/>
                <w:szCs w:val="24"/>
                <w:lang w:val="en-US"/>
              </w:rPr>
            </w:pPr>
            <w:r w:rsidRPr="005E3A10">
              <w:rPr>
                <w:rFonts w:cs="Arial"/>
                <w:sz w:val="24"/>
                <w:szCs w:val="24"/>
              </w:rPr>
              <w:t>Yes</w:t>
            </w:r>
            <w:r>
              <w:rPr>
                <w:rFonts w:cs="Arial"/>
                <w:sz w:val="24"/>
                <w:szCs w:val="24"/>
              </w:rPr>
              <w:t xml:space="preserve"> - </w:t>
            </w:r>
            <w:r w:rsidR="005665CE">
              <w:rPr>
                <w:rFonts w:cs="Arial"/>
                <w:sz w:val="24"/>
                <w:szCs w:val="24"/>
              </w:rPr>
              <w:t>t</w:t>
            </w:r>
            <w:r w:rsidRPr="00920DA2">
              <w:rPr>
                <w:rFonts w:cs="Arial"/>
                <w:bCs/>
                <w:color w:val="000000"/>
                <w:sz w:val="24"/>
                <w:szCs w:val="24"/>
              </w:rPr>
              <w:t xml:space="preserve">he decision will result in the </w:t>
            </w:r>
            <w:r w:rsidRPr="00920DA2">
              <w:rPr>
                <w:rFonts w:cs="Arial"/>
                <w:bCs/>
                <w:color w:val="000000"/>
                <w:sz w:val="24"/>
                <w:szCs w:val="24"/>
                <w:lang w:val="en-US"/>
              </w:rPr>
              <w:t>Council incurring expenditure in excess of £</w:t>
            </w:r>
            <w:r>
              <w:rPr>
                <w:rFonts w:cs="Arial"/>
                <w:bCs/>
                <w:color w:val="000000"/>
                <w:sz w:val="24"/>
                <w:szCs w:val="24"/>
                <w:lang w:val="en-US"/>
              </w:rPr>
              <w:t>0.5m revenue</w:t>
            </w:r>
            <w:r w:rsidRPr="00920DA2">
              <w:rPr>
                <w:rFonts w:cs="Arial"/>
                <w:bCs/>
                <w:color w:val="000000"/>
                <w:sz w:val="24"/>
                <w:szCs w:val="24"/>
                <w:lang w:val="en-US"/>
              </w:rPr>
              <w:t xml:space="preserve"> expenditure and </w:t>
            </w:r>
            <w:r w:rsidR="003F4DB7">
              <w:rPr>
                <w:rFonts w:cs="Arial"/>
                <w:bCs/>
                <w:color w:val="000000"/>
                <w:sz w:val="24"/>
                <w:szCs w:val="24"/>
                <w:lang w:val="en-US"/>
              </w:rPr>
              <w:t>a</w:t>
            </w:r>
            <w:r w:rsidRPr="00920DA2">
              <w:rPr>
                <w:rFonts w:cs="Arial"/>
                <w:bCs/>
                <w:color w:val="000000"/>
                <w:sz w:val="24"/>
                <w:szCs w:val="24"/>
                <w:lang w:val="en-US"/>
              </w:rPr>
              <w:t>ffects two or more wards of the Borough.</w:t>
            </w:r>
          </w:p>
          <w:p w14:paraId="3EADF2B3" w14:textId="7764F052" w:rsidR="00835E29" w:rsidRPr="005E3A10" w:rsidRDefault="00835E29" w:rsidP="00835E29">
            <w:pPr>
              <w:pStyle w:val="Infotext"/>
              <w:rPr>
                <w:rFonts w:cs="Arial"/>
                <w:szCs w:val="24"/>
              </w:rPr>
            </w:pPr>
          </w:p>
        </w:tc>
      </w:tr>
      <w:tr w:rsidR="00835E29" w14:paraId="79E96200" w14:textId="77777777" w:rsidTr="00EB3CF0">
        <w:tc>
          <w:tcPr>
            <w:tcW w:w="3456" w:type="dxa"/>
          </w:tcPr>
          <w:p w14:paraId="0B8ABDC4" w14:textId="77777777" w:rsidR="00835E29" w:rsidRPr="00C13A5F" w:rsidRDefault="00835E29" w:rsidP="00835E29">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170D69BF" w14:textId="170742BD" w:rsidR="00835E29" w:rsidRDefault="00835E29" w:rsidP="00835E29">
            <w:pPr>
              <w:rPr>
                <w:rFonts w:cs="Arial"/>
                <w:szCs w:val="24"/>
              </w:rPr>
            </w:pPr>
            <w:r w:rsidRPr="001B7236">
              <w:rPr>
                <w:rFonts w:cs="Arial"/>
                <w:szCs w:val="24"/>
              </w:rPr>
              <w:t>Paul Hewitt</w:t>
            </w:r>
            <w:r w:rsidR="005665CE">
              <w:rPr>
                <w:rFonts w:cs="Arial"/>
                <w:szCs w:val="24"/>
              </w:rPr>
              <w:t xml:space="preserve"> - </w:t>
            </w:r>
            <w:r w:rsidRPr="001B7236">
              <w:rPr>
                <w:rFonts w:cs="Arial"/>
                <w:szCs w:val="24"/>
              </w:rPr>
              <w:t>Corporate Director</w:t>
            </w:r>
            <w:r w:rsidR="005665CE">
              <w:rPr>
                <w:rFonts w:cs="Arial"/>
                <w:szCs w:val="24"/>
              </w:rPr>
              <w:t>,</w:t>
            </w:r>
            <w:r w:rsidRPr="001B7236">
              <w:rPr>
                <w:rFonts w:cs="Arial"/>
                <w:szCs w:val="24"/>
              </w:rPr>
              <w:t xml:space="preserve"> People Services </w:t>
            </w:r>
          </w:p>
          <w:p w14:paraId="3798BF23" w14:textId="38F7D75A" w:rsidR="00835E29" w:rsidRPr="005E3A10" w:rsidRDefault="00835E29" w:rsidP="00835E29">
            <w:pPr>
              <w:jc w:val="both"/>
              <w:rPr>
                <w:rFonts w:cs="Arial"/>
                <w:szCs w:val="24"/>
              </w:rPr>
            </w:pPr>
          </w:p>
        </w:tc>
      </w:tr>
      <w:tr w:rsidR="00835E29" w14:paraId="3B6FD8B1" w14:textId="77777777" w:rsidTr="00EB3CF0">
        <w:tc>
          <w:tcPr>
            <w:tcW w:w="3456" w:type="dxa"/>
          </w:tcPr>
          <w:p w14:paraId="0961945D" w14:textId="77777777" w:rsidR="00835E29" w:rsidRPr="00C13A5F" w:rsidRDefault="00835E29" w:rsidP="00835E29">
            <w:pPr>
              <w:pStyle w:val="Infotext"/>
              <w:spacing w:after="240"/>
              <w:rPr>
                <w:rFonts w:ascii="Arial Black" w:hAnsi="Arial Black"/>
              </w:rPr>
            </w:pPr>
            <w:r w:rsidRPr="00DB6C3D">
              <w:rPr>
                <w:rFonts w:ascii="Arial Black" w:hAnsi="Arial Black"/>
              </w:rPr>
              <w:t>Portfolio Holder:</w:t>
            </w:r>
          </w:p>
        </w:tc>
        <w:tc>
          <w:tcPr>
            <w:tcW w:w="5054" w:type="dxa"/>
          </w:tcPr>
          <w:p w14:paraId="1165885D" w14:textId="6FCFBA08" w:rsidR="00835E29" w:rsidRDefault="00835E29" w:rsidP="00835E29">
            <w:r w:rsidRPr="00052B42">
              <w:t>Christine Robson</w:t>
            </w:r>
            <w:r w:rsidR="005665CE">
              <w:t xml:space="preserve"> - </w:t>
            </w:r>
            <w:r w:rsidRPr="00052B42">
              <w:t xml:space="preserve">Portfolio Holder for </w:t>
            </w:r>
            <w:r>
              <w:t>Young People and Schools</w:t>
            </w:r>
          </w:p>
          <w:p w14:paraId="39A9A01A" w14:textId="5C67E019" w:rsidR="00835E29" w:rsidRPr="005E3A10" w:rsidRDefault="00835E29" w:rsidP="00835E29">
            <w:pPr>
              <w:pStyle w:val="Infotext"/>
              <w:rPr>
                <w:rFonts w:cs="Arial"/>
                <w:color w:val="FF0000"/>
                <w:sz w:val="24"/>
                <w:szCs w:val="24"/>
              </w:rPr>
            </w:pPr>
          </w:p>
        </w:tc>
      </w:tr>
      <w:tr w:rsidR="00835E29" w14:paraId="3CF618C8" w14:textId="77777777" w:rsidTr="00EB3CF0">
        <w:tc>
          <w:tcPr>
            <w:tcW w:w="3456" w:type="dxa"/>
          </w:tcPr>
          <w:p w14:paraId="4CD8D092" w14:textId="77777777" w:rsidR="00835E29" w:rsidRPr="00C13A5F" w:rsidRDefault="00835E29" w:rsidP="00835E29">
            <w:pPr>
              <w:pStyle w:val="Infotext"/>
              <w:spacing w:after="240"/>
              <w:rPr>
                <w:rFonts w:ascii="Arial Black" w:hAnsi="Arial Black"/>
              </w:rPr>
            </w:pPr>
            <w:r w:rsidRPr="00DB6C3D">
              <w:rPr>
                <w:rFonts w:ascii="Arial Black" w:hAnsi="Arial Black"/>
              </w:rPr>
              <w:t>Exempt:</w:t>
            </w:r>
          </w:p>
        </w:tc>
        <w:tc>
          <w:tcPr>
            <w:tcW w:w="5054" w:type="dxa"/>
          </w:tcPr>
          <w:p w14:paraId="34C65BD0" w14:textId="789E73E3" w:rsidR="00835E29" w:rsidRPr="005E3A10" w:rsidRDefault="00835E29" w:rsidP="00835E29">
            <w:pPr>
              <w:pStyle w:val="Infotext"/>
              <w:rPr>
                <w:rFonts w:cs="Arial"/>
                <w:sz w:val="24"/>
                <w:szCs w:val="24"/>
              </w:rPr>
            </w:pPr>
            <w:r w:rsidRPr="005E3A10">
              <w:rPr>
                <w:rFonts w:cs="Arial"/>
                <w:sz w:val="24"/>
                <w:szCs w:val="24"/>
              </w:rPr>
              <w:t>No</w:t>
            </w:r>
          </w:p>
          <w:p w14:paraId="755E47D1" w14:textId="531FE768" w:rsidR="00835E29" w:rsidRPr="00835E29" w:rsidRDefault="00835E29" w:rsidP="00835E29">
            <w:pPr>
              <w:pStyle w:val="Infotext"/>
              <w:rPr>
                <w:rFonts w:cs="Arial"/>
                <w:sz w:val="24"/>
                <w:szCs w:val="24"/>
              </w:rPr>
            </w:pPr>
            <w:r w:rsidRPr="005E3A10">
              <w:rPr>
                <w:rFonts w:cs="Arial"/>
                <w:sz w:val="24"/>
                <w:szCs w:val="24"/>
              </w:rPr>
              <w:t xml:space="preserve"> </w:t>
            </w:r>
          </w:p>
        </w:tc>
      </w:tr>
      <w:tr w:rsidR="00835E29" w14:paraId="577CD75A" w14:textId="77777777" w:rsidTr="00EB3CF0">
        <w:tc>
          <w:tcPr>
            <w:tcW w:w="3456" w:type="dxa"/>
          </w:tcPr>
          <w:p w14:paraId="4821943C" w14:textId="77777777" w:rsidR="00835E29" w:rsidRPr="00C13A5F" w:rsidRDefault="00835E29" w:rsidP="00835E29">
            <w:pPr>
              <w:pStyle w:val="Infotext"/>
              <w:spacing w:after="240"/>
              <w:rPr>
                <w:rFonts w:ascii="Arial Black" w:hAnsi="Arial Black"/>
              </w:rPr>
            </w:pPr>
            <w:r w:rsidRPr="00DB6C3D">
              <w:rPr>
                <w:rFonts w:ascii="Arial Black" w:hAnsi="Arial Black"/>
              </w:rPr>
              <w:t>Decision subject to Call-in:</w:t>
            </w:r>
          </w:p>
        </w:tc>
        <w:tc>
          <w:tcPr>
            <w:tcW w:w="5054" w:type="dxa"/>
          </w:tcPr>
          <w:p w14:paraId="3A75E271" w14:textId="0EB66E3C" w:rsidR="00835E29" w:rsidRPr="005E3A10" w:rsidRDefault="00835E29" w:rsidP="00B662E8">
            <w:pPr>
              <w:rPr>
                <w:rFonts w:cs="Arial"/>
                <w:szCs w:val="24"/>
              </w:rPr>
            </w:pPr>
            <w:r w:rsidRPr="00B662E8">
              <w:rPr>
                <w:rFonts w:cs="Arial"/>
                <w:szCs w:val="24"/>
              </w:rPr>
              <w:t>Yes</w:t>
            </w:r>
            <w:r w:rsidRPr="00776A81">
              <w:rPr>
                <w:rFonts w:cs="Arial"/>
                <w:szCs w:val="24"/>
                <w:highlight w:val="yellow"/>
              </w:rPr>
              <w:t xml:space="preserve"> </w:t>
            </w:r>
          </w:p>
        </w:tc>
      </w:tr>
      <w:tr w:rsidR="00835E29" w14:paraId="7E5497E1" w14:textId="77777777" w:rsidTr="00EB3CF0">
        <w:tc>
          <w:tcPr>
            <w:tcW w:w="3456" w:type="dxa"/>
          </w:tcPr>
          <w:p w14:paraId="6B5E6A6A" w14:textId="77777777" w:rsidR="00835E29" w:rsidRPr="00C13A5F" w:rsidRDefault="00835E29" w:rsidP="00835E29">
            <w:pPr>
              <w:pStyle w:val="Infotext"/>
              <w:spacing w:after="240"/>
              <w:rPr>
                <w:rFonts w:ascii="Arial Black" w:hAnsi="Arial Black" w:cs="Arial"/>
              </w:rPr>
            </w:pPr>
            <w:r>
              <w:rPr>
                <w:rFonts w:ascii="Arial Black" w:hAnsi="Arial Black" w:cs="Arial"/>
              </w:rPr>
              <w:t>Wards affected:</w:t>
            </w:r>
          </w:p>
        </w:tc>
        <w:tc>
          <w:tcPr>
            <w:tcW w:w="5054" w:type="dxa"/>
          </w:tcPr>
          <w:p w14:paraId="202552BB" w14:textId="6796C01E" w:rsidR="00835E29" w:rsidRPr="00934D82" w:rsidRDefault="005665CE" w:rsidP="00835E29">
            <w:pPr>
              <w:rPr>
                <w:rFonts w:cs="Arial"/>
                <w:b/>
                <w:szCs w:val="24"/>
              </w:rPr>
            </w:pPr>
            <w:r>
              <w:rPr>
                <w:rFonts w:cs="Arial"/>
                <w:szCs w:val="24"/>
              </w:rPr>
              <w:t>All</w:t>
            </w:r>
            <w:r w:rsidR="00835E29" w:rsidRPr="00934D82">
              <w:rPr>
                <w:rFonts w:cs="Arial"/>
                <w:szCs w:val="24"/>
              </w:rPr>
              <w:t xml:space="preserve"> Wards </w:t>
            </w:r>
          </w:p>
          <w:p w14:paraId="52E38AE7" w14:textId="52261E2D" w:rsidR="00835E29" w:rsidRPr="00934D82" w:rsidRDefault="00835E29" w:rsidP="00835E29">
            <w:pPr>
              <w:rPr>
                <w:rFonts w:cs="Arial"/>
                <w:b/>
                <w:szCs w:val="24"/>
              </w:rPr>
            </w:pPr>
          </w:p>
        </w:tc>
      </w:tr>
      <w:tr w:rsidR="00835E29" w14:paraId="5F1445BF" w14:textId="77777777" w:rsidTr="00EB3CF0">
        <w:tc>
          <w:tcPr>
            <w:tcW w:w="3456" w:type="dxa"/>
          </w:tcPr>
          <w:p w14:paraId="0E539C63" w14:textId="77777777" w:rsidR="00835E29" w:rsidRPr="00C13A5F" w:rsidRDefault="00835E29" w:rsidP="00835E29">
            <w:pPr>
              <w:pStyle w:val="Infotext"/>
              <w:spacing w:after="240"/>
              <w:rPr>
                <w:rFonts w:ascii="Arial Black" w:hAnsi="Arial Black" w:cs="Arial"/>
              </w:rPr>
            </w:pPr>
            <w:r w:rsidRPr="00C13A5F">
              <w:rPr>
                <w:rFonts w:ascii="Arial Black" w:hAnsi="Arial Black" w:cs="Arial"/>
              </w:rPr>
              <w:t>Enclosures:</w:t>
            </w:r>
          </w:p>
        </w:tc>
        <w:tc>
          <w:tcPr>
            <w:tcW w:w="5054" w:type="dxa"/>
          </w:tcPr>
          <w:p w14:paraId="38A32901" w14:textId="3885B17F" w:rsidR="00835E29" w:rsidRPr="00934D82" w:rsidRDefault="00C80B5F" w:rsidP="00835E29">
            <w:pPr>
              <w:pStyle w:val="Infotext"/>
              <w:rPr>
                <w:rFonts w:cs="Arial"/>
                <w:sz w:val="24"/>
                <w:szCs w:val="24"/>
              </w:rPr>
            </w:pPr>
            <w:r w:rsidRPr="00934D82">
              <w:rPr>
                <w:rFonts w:cs="Arial"/>
                <w:sz w:val="24"/>
                <w:szCs w:val="24"/>
              </w:rPr>
              <w:t xml:space="preserve">None </w:t>
            </w:r>
          </w:p>
          <w:p w14:paraId="6668D730" w14:textId="60A43376" w:rsidR="00835E29" w:rsidRPr="00934D82" w:rsidRDefault="00835E29" w:rsidP="00835E29">
            <w:pPr>
              <w:pStyle w:val="Infotext"/>
              <w:rPr>
                <w:sz w:val="24"/>
                <w:szCs w:val="24"/>
              </w:rPr>
            </w:pPr>
          </w:p>
        </w:tc>
      </w:tr>
    </w:tbl>
    <w:p w14:paraId="27C48D26" w14:textId="68983A31" w:rsidR="00DF3B77" w:rsidRDefault="00DF3B77" w:rsidP="00C869F3">
      <w:pPr>
        <w:spacing w:after="480"/>
        <w:rPr>
          <w:rFonts w:cs="Arial"/>
        </w:rPr>
      </w:pPr>
    </w:p>
    <w:p w14:paraId="32FD6A61" w14:textId="77777777" w:rsidR="00DF3B77" w:rsidRDefault="00DF3B77">
      <w:pPr>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5"/>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1DC21E29" w14:textId="2717D9E0" w:rsidR="00DA4E9A" w:rsidRDefault="00835E29" w:rsidP="00DA4E9A">
            <w:pPr>
              <w:rPr>
                <w:szCs w:val="22"/>
              </w:rPr>
            </w:pPr>
            <w:r w:rsidRPr="00835E29">
              <w:rPr>
                <w:rFonts w:cs="Agenda-Semibold"/>
                <w:color w:val="000000"/>
                <w:szCs w:val="24"/>
              </w:rPr>
              <w:t xml:space="preserve">This report </w:t>
            </w:r>
            <w:r w:rsidR="004B70C7">
              <w:rPr>
                <w:rFonts w:cs="Agenda-Semibold"/>
                <w:color w:val="000000"/>
                <w:szCs w:val="24"/>
              </w:rPr>
              <w:t xml:space="preserve">presents the proposal to continue </w:t>
            </w:r>
            <w:r w:rsidRPr="00835E29">
              <w:rPr>
                <w:szCs w:val="24"/>
              </w:rPr>
              <w:t>joint commissioning with Harrow Clinical Commissioning Group (CCG)</w:t>
            </w:r>
            <w:r w:rsidR="00DA4E9A">
              <w:rPr>
                <w:szCs w:val="24"/>
              </w:rPr>
              <w:t xml:space="preserve">, </w:t>
            </w:r>
            <w:r w:rsidR="000D2DCC">
              <w:rPr>
                <w:szCs w:val="24"/>
              </w:rPr>
              <w:t xml:space="preserve">Community </w:t>
            </w:r>
            <w:r w:rsidR="00DA4E9A">
              <w:rPr>
                <w:szCs w:val="22"/>
              </w:rPr>
              <w:t xml:space="preserve">Paediatric Services through an overarching Section 75 Agreement. </w:t>
            </w:r>
          </w:p>
          <w:p w14:paraId="02274D72" w14:textId="1A1397CE" w:rsidR="001C7E35" w:rsidRPr="00605A4C" w:rsidRDefault="00605A4C" w:rsidP="00E13BEF">
            <w:pPr>
              <w:pStyle w:val="Heading3"/>
              <w:spacing w:before="240"/>
            </w:pPr>
            <w:r>
              <w:t>Recommen</w:t>
            </w:r>
            <w:r w:rsidR="001C7E35" w:rsidRPr="00605A4C">
              <w:t xml:space="preserve">dations: </w:t>
            </w:r>
          </w:p>
          <w:p w14:paraId="38D2B60D" w14:textId="21F57EC6" w:rsidR="001C7E35" w:rsidRDefault="001C7E35" w:rsidP="00605A4C">
            <w:r>
              <w:t>Cabinet is requested to:</w:t>
            </w:r>
          </w:p>
          <w:p w14:paraId="620D3AFC" w14:textId="309CB335" w:rsidR="00835E29" w:rsidRDefault="00835E29" w:rsidP="00605A4C"/>
          <w:p w14:paraId="703A7107" w14:textId="590E295C" w:rsidR="00835E29" w:rsidRPr="00493F4F" w:rsidRDefault="00835E29" w:rsidP="004B70C7">
            <w:pPr>
              <w:pStyle w:val="ListParagraph"/>
              <w:numPr>
                <w:ilvl w:val="0"/>
                <w:numId w:val="1"/>
              </w:numPr>
              <w:rPr>
                <w:rFonts w:cs="Arial"/>
                <w:szCs w:val="24"/>
              </w:rPr>
            </w:pPr>
            <w:r w:rsidRPr="00493F4F">
              <w:rPr>
                <w:szCs w:val="24"/>
              </w:rPr>
              <w:t xml:space="preserve">Delegate authority to </w:t>
            </w:r>
            <w:r w:rsidRPr="00493F4F">
              <w:rPr>
                <w:rFonts w:cs="Arial"/>
                <w:szCs w:val="24"/>
              </w:rPr>
              <w:t>the Corporate Director People Services, following consultation with the Portfolio Holders for Young People and Schools and Finance and Resources, to approve the financial contribution to be made by the Council to Harrow Clinical Commissioning Group via the People Services overarching s75 Agreement for jointly commissioned paediatric services.</w:t>
            </w:r>
          </w:p>
          <w:p w14:paraId="0D0EFAE1" w14:textId="77777777" w:rsidR="00835E29" w:rsidRDefault="00835E29" w:rsidP="00835E29">
            <w:pPr>
              <w:rPr>
                <w:rFonts w:cs="Arial"/>
                <w:szCs w:val="24"/>
              </w:rPr>
            </w:pPr>
          </w:p>
          <w:p w14:paraId="12BB3B6B" w14:textId="1FD99E85" w:rsidR="00835E29" w:rsidRPr="002E171D" w:rsidRDefault="00835E29" w:rsidP="004B70C7">
            <w:pPr>
              <w:pStyle w:val="ListParagraph"/>
              <w:numPr>
                <w:ilvl w:val="0"/>
                <w:numId w:val="1"/>
              </w:numPr>
              <w:rPr>
                <w:szCs w:val="22"/>
              </w:rPr>
            </w:pPr>
            <w:r w:rsidRPr="002E171D">
              <w:rPr>
                <w:rFonts w:cs="Arial"/>
                <w:szCs w:val="24"/>
              </w:rPr>
              <w:t xml:space="preserve">Delegate authority to the Corporate Director People Services </w:t>
            </w:r>
            <w:r>
              <w:rPr>
                <w:rFonts w:cs="Arial"/>
                <w:szCs w:val="24"/>
              </w:rPr>
              <w:t xml:space="preserve">to review the current People Services overarching s75 Agreement with Harrow CCG </w:t>
            </w:r>
            <w:r w:rsidR="004538B1">
              <w:rPr>
                <w:rFonts w:cs="Arial"/>
                <w:szCs w:val="24"/>
              </w:rPr>
              <w:t>and agree</w:t>
            </w:r>
            <w:r w:rsidR="00E93D75">
              <w:rPr>
                <w:rFonts w:cs="Arial"/>
                <w:szCs w:val="24"/>
              </w:rPr>
              <w:t xml:space="preserve"> a new </w:t>
            </w:r>
            <w:r w:rsidR="005665CE">
              <w:rPr>
                <w:rFonts w:cs="Arial"/>
                <w:szCs w:val="24"/>
              </w:rPr>
              <w:t>5-year</w:t>
            </w:r>
            <w:r w:rsidR="00E93D75">
              <w:rPr>
                <w:rFonts w:cs="Arial"/>
                <w:szCs w:val="24"/>
              </w:rPr>
              <w:t xml:space="preserve"> agreement with an option to extend for a further 5 years thereafter that will commence </w:t>
            </w:r>
            <w:r w:rsidR="004B70C7">
              <w:rPr>
                <w:rFonts w:cs="Arial"/>
                <w:szCs w:val="24"/>
              </w:rPr>
              <w:t xml:space="preserve">from </w:t>
            </w:r>
            <w:r>
              <w:rPr>
                <w:rFonts w:cs="Arial"/>
                <w:szCs w:val="24"/>
              </w:rPr>
              <w:t>1</w:t>
            </w:r>
            <w:r w:rsidRPr="002E171D">
              <w:rPr>
                <w:rFonts w:cs="Arial"/>
                <w:szCs w:val="24"/>
                <w:vertAlign w:val="superscript"/>
              </w:rPr>
              <w:t>st</w:t>
            </w:r>
            <w:r>
              <w:rPr>
                <w:rFonts w:cs="Arial"/>
                <w:szCs w:val="24"/>
              </w:rPr>
              <w:t xml:space="preserve"> April 2022.</w:t>
            </w:r>
          </w:p>
          <w:p w14:paraId="0693D40B" w14:textId="77777777" w:rsidR="00835E29" w:rsidRDefault="00835E29" w:rsidP="00605A4C"/>
          <w:p w14:paraId="2764CA08" w14:textId="664CFE9A" w:rsidR="00DA4E9A" w:rsidRDefault="00E13BEF" w:rsidP="00E13BEF">
            <w:pPr>
              <w:pStyle w:val="Heading3"/>
              <w:ind w:left="0" w:firstLine="0"/>
              <w:jc w:val="left"/>
            </w:pPr>
            <w:r>
              <w:t xml:space="preserve">Reason:  </w:t>
            </w:r>
          </w:p>
          <w:p w14:paraId="32D04565" w14:textId="77777777" w:rsidR="00DA4E9A" w:rsidRPr="00DA4E9A" w:rsidRDefault="00DA4E9A" w:rsidP="00DA4E9A"/>
          <w:p w14:paraId="6E9F29F1" w14:textId="3023B08A" w:rsidR="00DA4E9A" w:rsidRDefault="00DA4E9A" w:rsidP="00DA4E9A">
            <w:r w:rsidRPr="00DA4E9A">
              <w:rPr>
                <w:szCs w:val="24"/>
              </w:rPr>
              <w:t>To fulfil the statutory requirement of Local authorities</w:t>
            </w:r>
            <w:r w:rsidR="004B70C7">
              <w:rPr>
                <w:szCs w:val="24"/>
              </w:rPr>
              <w:t xml:space="preserve"> to </w:t>
            </w:r>
            <w:r>
              <w:t>commission</w:t>
            </w:r>
            <w:r w:rsidR="00570D23">
              <w:t xml:space="preserve"> community </w:t>
            </w:r>
            <w:r>
              <w:t>health services for all children</w:t>
            </w:r>
            <w:r w:rsidR="00CB553E">
              <w:t xml:space="preserve"> and young people</w:t>
            </w:r>
            <w:r>
              <w:t xml:space="preserve"> in their area.</w:t>
            </w:r>
          </w:p>
          <w:p w14:paraId="313BC81E" w14:textId="77777777" w:rsidR="00333FAA" w:rsidRDefault="00333FAA" w:rsidP="00DA4E9A">
            <w:pPr>
              <w:pStyle w:val="Heading3"/>
              <w:ind w:left="0" w:firstLine="0"/>
              <w:jc w:val="left"/>
            </w:pPr>
          </w:p>
        </w:tc>
      </w:tr>
    </w:tbl>
    <w:p w14:paraId="0204F38A" w14:textId="77777777" w:rsidR="00333FAA" w:rsidRDefault="00333FAA" w:rsidP="00F06E4E">
      <w:pPr>
        <w:pStyle w:val="Heading2"/>
        <w:spacing w:before="480"/>
      </w:pPr>
      <w:r>
        <w:t>Section 2 – Report</w:t>
      </w:r>
    </w:p>
    <w:p w14:paraId="76168D48" w14:textId="70BE1A6C" w:rsidR="001C7E35" w:rsidRDefault="001C7E35" w:rsidP="00F06E4E">
      <w:pPr>
        <w:pStyle w:val="Heading3"/>
        <w:spacing w:before="240"/>
      </w:pPr>
      <w:r>
        <w:t>Introductory paragraph</w:t>
      </w:r>
    </w:p>
    <w:p w14:paraId="480897B2" w14:textId="77777777" w:rsidR="00065791" w:rsidRPr="00065791" w:rsidRDefault="00065791" w:rsidP="00065791"/>
    <w:p w14:paraId="00FE81A4" w14:textId="1744F89B" w:rsidR="004B70C7" w:rsidRDefault="004B70C7" w:rsidP="004B70C7">
      <w:pPr>
        <w:pStyle w:val="ListParagraph"/>
        <w:numPr>
          <w:ilvl w:val="0"/>
          <w:numId w:val="2"/>
        </w:numPr>
        <w:ind w:left="567" w:hanging="578"/>
      </w:pPr>
      <w:r>
        <w:t>This report provides Cabinet with details on the arrangements to commission speech and language therapy (SALT) and occupation therapy (OT) services for children and young people in Harrow. The current contract end</w:t>
      </w:r>
      <w:r w:rsidR="0070438F">
        <w:t>s</w:t>
      </w:r>
      <w:r>
        <w:t xml:space="preserve"> on 31 March 2021 and this report proposes that both the services are jointly commissioned with Harrow CCG through a s75 agreement. </w:t>
      </w:r>
    </w:p>
    <w:p w14:paraId="6C6A9C4D" w14:textId="77777777" w:rsidR="004B70C7" w:rsidRDefault="004B70C7" w:rsidP="004B70C7">
      <w:pPr>
        <w:ind w:left="567" w:hanging="578"/>
      </w:pPr>
    </w:p>
    <w:p w14:paraId="48E5B370" w14:textId="4C022328" w:rsidR="004B70C7" w:rsidRPr="004B70C7" w:rsidRDefault="004B70C7" w:rsidP="004B70C7">
      <w:pPr>
        <w:pStyle w:val="ListParagraph"/>
        <w:numPr>
          <w:ilvl w:val="0"/>
          <w:numId w:val="2"/>
        </w:numPr>
        <w:autoSpaceDE w:val="0"/>
        <w:autoSpaceDN w:val="0"/>
        <w:ind w:left="567" w:hanging="578"/>
        <w:rPr>
          <w:rFonts w:cs="Arial"/>
          <w:szCs w:val="24"/>
        </w:rPr>
      </w:pPr>
      <w:r w:rsidRPr="004B70C7">
        <w:rPr>
          <w:rFonts w:cs="Arial"/>
          <w:szCs w:val="24"/>
          <w:lang w:eastAsia="en-GB"/>
        </w:rPr>
        <w:t>The Children and Families Act 2014 introduced major changes to the support for children and young people with special educational needs and disability. Th</w:t>
      </w:r>
      <w:r w:rsidR="00C34921">
        <w:rPr>
          <w:rFonts w:cs="Arial"/>
          <w:szCs w:val="24"/>
          <w:lang w:eastAsia="en-GB"/>
        </w:rPr>
        <w:t>is</w:t>
      </w:r>
      <w:r w:rsidRPr="004B70C7">
        <w:rPr>
          <w:rFonts w:cs="Arial"/>
          <w:szCs w:val="24"/>
          <w:lang w:eastAsia="en-GB"/>
        </w:rPr>
        <w:t xml:space="preserve"> Act states local authorities and its commissioning partner bodies must make arrangements (‘joint commissioning arrangements’) for the education, health and care provision to be secured for children and young people that have special educational needs and who have a disability. These include </w:t>
      </w:r>
      <w:r w:rsidRPr="004B70C7">
        <w:rPr>
          <w:rFonts w:cs="Arial"/>
          <w:szCs w:val="24"/>
        </w:rPr>
        <w:t>SALT and OT services.</w:t>
      </w:r>
    </w:p>
    <w:p w14:paraId="762AFA1D" w14:textId="69CA2185" w:rsidR="004B70C7" w:rsidRDefault="004B70C7" w:rsidP="004B70C7">
      <w:pPr>
        <w:autoSpaceDE w:val="0"/>
        <w:autoSpaceDN w:val="0"/>
        <w:ind w:left="567" w:hanging="578"/>
        <w:rPr>
          <w:rFonts w:cs="Arial"/>
          <w:szCs w:val="24"/>
        </w:rPr>
      </w:pPr>
    </w:p>
    <w:p w14:paraId="254C435A" w14:textId="5E48E791" w:rsidR="004B70C7" w:rsidRDefault="004B70C7" w:rsidP="004B70C7">
      <w:pPr>
        <w:pStyle w:val="ListParagraph"/>
        <w:numPr>
          <w:ilvl w:val="0"/>
          <w:numId w:val="2"/>
        </w:numPr>
        <w:ind w:left="567" w:hanging="578"/>
      </w:pPr>
      <w:r>
        <w:t xml:space="preserve">The report also proposes that the current overarching s75 agreement with Harrow CCG is reviewed and a new agreement comes into effect from April 2022. Section 75 of the National Health Service Act 2006 permits CCG and Local Authorities to commission services jointly.  The </w:t>
      </w:r>
      <w:r>
        <w:lastRenderedPageBreak/>
        <w:t>overarching People Services Section 75 commenced 1</w:t>
      </w:r>
      <w:r w:rsidRPr="004B70C7">
        <w:rPr>
          <w:vertAlign w:val="superscript"/>
        </w:rPr>
        <w:t>st</w:t>
      </w:r>
      <w:r>
        <w:t xml:space="preserve"> April 2017 with a </w:t>
      </w:r>
      <w:r w:rsidR="005665CE">
        <w:t>5-year</w:t>
      </w:r>
      <w:r>
        <w:t xml:space="preserve"> period until 31</w:t>
      </w:r>
      <w:r w:rsidRPr="004B70C7">
        <w:rPr>
          <w:vertAlign w:val="superscript"/>
        </w:rPr>
        <w:t>st</w:t>
      </w:r>
      <w:r>
        <w:t xml:space="preserve"> March 2022.</w:t>
      </w:r>
    </w:p>
    <w:p w14:paraId="0A74D63E" w14:textId="77777777" w:rsidR="004B70C7" w:rsidRPr="004B70C7" w:rsidRDefault="004B70C7" w:rsidP="004B70C7">
      <w:pPr>
        <w:autoSpaceDE w:val="0"/>
        <w:autoSpaceDN w:val="0"/>
        <w:ind w:left="567" w:hanging="578"/>
        <w:rPr>
          <w:rFonts w:cs="Arial"/>
          <w:szCs w:val="24"/>
        </w:rPr>
      </w:pPr>
    </w:p>
    <w:p w14:paraId="073FE568" w14:textId="4C4C7915" w:rsidR="004B70C7" w:rsidRPr="004B70C7" w:rsidRDefault="00DB0B6A" w:rsidP="004B70C7">
      <w:pPr>
        <w:pStyle w:val="ListParagraph"/>
        <w:numPr>
          <w:ilvl w:val="0"/>
          <w:numId w:val="2"/>
        </w:numPr>
        <w:ind w:left="567" w:hanging="578"/>
      </w:pPr>
      <w:r w:rsidRPr="004B70C7">
        <w:t>T</w:t>
      </w:r>
      <w:r w:rsidR="001C7E35" w:rsidRPr="004B70C7">
        <w:t xml:space="preserve">he decision </w:t>
      </w:r>
      <w:r w:rsidR="004B70C7" w:rsidRPr="004B70C7">
        <w:t>will contribute to the Council’s corporate priorities by tackling poverty and inequality and addressing health and social care inequality.</w:t>
      </w:r>
      <w:r w:rsidR="004B70C7">
        <w:t xml:space="preserve"> </w:t>
      </w:r>
    </w:p>
    <w:p w14:paraId="3FF79274" w14:textId="77777777" w:rsidR="004B70C7" w:rsidRPr="004B70C7" w:rsidRDefault="004B70C7" w:rsidP="004B70C7">
      <w:pPr>
        <w:autoSpaceDE w:val="0"/>
        <w:autoSpaceDN w:val="0"/>
        <w:ind w:left="567" w:hanging="578"/>
      </w:pPr>
    </w:p>
    <w:p w14:paraId="0A078380" w14:textId="110EF87F" w:rsidR="00AD1E77" w:rsidRDefault="001C7E35" w:rsidP="004B70C7">
      <w:pPr>
        <w:pStyle w:val="Heading3"/>
        <w:spacing w:before="240"/>
        <w:jc w:val="left"/>
      </w:pPr>
      <w:r>
        <w:t xml:space="preserve">Options considered  </w:t>
      </w:r>
    </w:p>
    <w:p w14:paraId="3E9C5E79" w14:textId="0FE11510" w:rsidR="0045345C" w:rsidRDefault="0045345C" w:rsidP="004B70C7">
      <w:pPr>
        <w:ind w:left="567" w:hanging="578"/>
      </w:pPr>
    </w:p>
    <w:p w14:paraId="61B12F07" w14:textId="77777777" w:rsidR="004B70C7" w:rsidRPr="004B70C7" w:rsidRDefault="004B70C7" w:rsidP="004B70C7">
      <w:pPr>
        <w:pStyle w:val="ListParagraph"/>
        <w:numPr>
          <w:ilvl w:val="0"/>
          <w:numId w:val="2"/>
        </w:numPr>
        <w:ind w:left="567" w:hanging="578"/>
        <w:rPr>
          <w:bCs/>
        </w:rPr>
      </w:pPr>
      <w:bookmarkStart w:id="0" w:name="_Hlk51865527"/>
      <w:r w:rsidRPr="004B70C7">
        <w:rPr>
          <w:bCs/>
        </w:rPr>
        <w:t>The following three options have been considered:</w:t>
      </w:r>
    </w:p>
    <w:p w14:paraId="18BD40FE" w14:textId="77777777" w:rsidR="004B70C7" w:rsidRDefault="004B70C7" w:rsidP="004B70C7">
      <w:pPr>
        <w:ind w:left="567" w:hanging="578"/>
        <w:rPr>
          <w:bCs/>
        </w:rPr>
      </w:pPr>
    </w:p>
    <w:p w14:paraId="0143CA81" w14:textId="65661840" w:rsidR="0045345C" w:rsidRPr="0051592F" w:rsidRDefault="0045345C" w:rsidP="0051592F">
      <w:pPr>
        <w:pStyle w:val="ListParagraph"/>
        <w:numPr>
          <w:ilvl w:val="0"/>
          <w:numId w:val="3"/>
        </w:numPr>
        <w:ind w:left="1134" w:hanging="567"/>
        <w:rPr>
          <w:bCs/>
        </w:rPr>
      </w:pPr>
      <w:r w:rsidRPr="0051592F">
        <w:rPr>
          <w:bCs/>
        </w:rPr>
        <w:t xml:space="preserve">Option 1: Do nothing.  Allow the </w:t>
      </w:r>
      <w:r w:rsidR="004B70C7" w:rsidRPr="0051592F">
        <w:rPr>
          <w:bCs/>
        </w:rPr>
        <w:t xml:space="preserve">SALT and OT </w:t>
      </w:r>
      <w:r w:rsidRPr="0051592F">
        <w:rPr>
          <w:bCs/>
        </w:rPr>
        <w:t xml:space="preserve">contracts to end in March 2021.  This will create a gap in statutory service provision. </w:t>
      </w:r>
    </w:p>
    <w:p w14:paraId="20BC7AFA" w14:textId="77777777" w:rsidR="0045345C" w:rsidRPr="0051592F" w:rsidRDefault="0045345C" w:rsidP="0051592F">
      <w:pPr>
        <w:ind w:left="1134" w:hanging="567"/>
        <w:jc w:val="both"/>
        <w:rPr>
          <w:b/>
        </w:rPr>
      </w:pPr>
    </w:p>
    <w:p w14:paraId="79C68091" w14:textId="5AC8729D" w:rsidR="0045345C" w:rsidRPr="0051592F" w:rsidRDefault="0045345C" w:rsidP="0051592F">
      <w:pPr>
        <w:pStyle w:val="ListParagraph"/>
        <w:numPr>
          <w:ilvl w:val="0"/>
          <w:numId w:val="3"/>
        </w:numPr>
        <w:ind w:left="1134" w:hanging="567"/>
        <w:rPr>
          <w:bCs/>
        </w:rPr>
      </w:pPr>
      <w:r w:rsidRPr="0051592F">
        <w:rPr>
          <w:bCs/>
        </w:rPr>
        <w:t xml:space="preserve">Option 2: </w:t>
      </w:r>
      <w:r w:rsidR="004B70C7" w:rsidRPr="0051592F">
        <w:rPr>
          <w:bCs/>
        </w:rPr>
        <w:t xml:space="preserve">Continue to jointly commission SALT and OT services with the CCG. </w:t>
      </w:r>
      <w:r w:rsidRPr="0051592F">
        <w:rPr>
          <w:szCs w:val="24"/>
        </w:rPr>
        <w:t>Secure delegations from Cabinet to</w:t>
      </w:r>
      <w:r w:rsidRPr="0051592F">
        <w:rPr>
          <w:bCs/>
        </w:rPr>
        <w:t xml:space="preserve"> approve the financial contribution to be made by the Council to Harrow Clinical Commissioning Group for Paediatric Service.</w:t>
      </w:r>
      <w:bookmarkEnd w:id="0"/>
      <w:r w:rsidR="00D02FAC" w:rsidRPr="0051592F">
        <w:rPr>
          <w:bCs/>
        </w:rPr>
        <w:t xml:space="preserve">  </w:t>
      </w:r>
    </w:p>
    <w:p w14:paraId="4F3F2569" w14:textId="77777777" w:rsidR="0045345C" w:rsidRPr="0051592F" w:rsidRDefault="0045345C" w:rsidP="0051592F">
      <w:pPr>
        <w:ind w:left="1134" w:hanging="567"/>
        <w:rPr>
          <w:bCs/>
        </w:rPr>
      </w:pPr>
    </w:p>
    <w:p w14:paraId="48F1B6C4" w14:textId="1FC3B45D" w:rsidR="0045345C" w:rsidRPr="0051592F" w:rsidRDefault="0045345C" w:rsidP="0051592F">
      <w:pPr>
        <w:pStyle w:val="ListParagraph"/>
        <w:numPr>
          <w:ilvl w:val="0"/>
          <w:numId w:val="3"/>
        </w:numPr>
        <w:ind w:left="1134" w:hanging="567"/>
      </w:pPr>
      <w:r w:rsidRPr="0051592F">
        <w:rPr>
          <w:bCs/>
        </w:rPr>
        <w:t>Option 3: Commission SALT and OT services independently of Harrow CCG</w:t>
      </w:r>
      <w:r w:rsidR="004B70C7" w:rsidRPr="0051592F">
        <w:rPr>
          <w:bCs/>
        </w:rPr>
        <w:t xml:space="preserve">. This is not aligned with the Government’s approach to the integration of health and social care. In addition, separately commissioned services may result in gaps across in provision across the system. </w:t>
      </w:r>
    </w:p>
    <w:p w14:paraId="4271021D" w14:textId="483ACC13" w:rsidR="0045345C" w:rsidRDefault="0045345C" w:rsidP="004B70C7">
      <w:pPr>
        <w:ind w:left="567" w:hanging="578"/>
      </w:pPr>
    </w:p>
    <w:p w14:paraId="460BDFE0" w14:textId="0ED5239C" w:rsidR="004D3A22" w:rsidRPr="004B70C7" w:rsidRDefault="00D02FAC" w:rsidP="004B70C7">
      <w:pPr>
        <w:pStyle w:val="ListParagraph"/>
        <w:numPr>
          <w:ilvl w:val="0"/>
          <w:numId w:val="2"/>
        </w:numPr>
        <w:ind w:left="567" w:hanging="578"/>
      </w:pPr>
      <w:r w:rsidRPr="004B70C7">
        <w:t xml:space="preserve">Option 2 is the preferred option </w:t>
      </w:r>
      <w:r w:rsidR="004B70C7" w:rsidRPr="004B70C7">
        <w:t xml:space="preserve">because it will ensure that the local authority fulfils its statutory duties to secure therapy services for children and young people with special educational needs. The joint approach with the CCG will continue to develop an integrated approach across the education and health care system. </w:t>
      </w:r>
    </w:p>
    <w:p w14:paraId="65E2FAD0" w14:textId="77777777" w:rsidR="004B70C7" w:rsidRDefault="004B70C7" w:rsidP="004B70C7">
      <w:pPr>
        <w:pStyle w:val="Heading2"/>
        <w:ind w:left="567" w:hanging="578"/>
        <w:rPr>
          <w:rFonts w:ascii="Arial" w:hAnsi="Arial"/>
          <w:sz w:val="28"/>
          <w:szCs w:val="28"/>
        </w:rPr>
      </w:pPr>
    </w:p>
    <w:p w14:paraId="0E637316" w14:textId="498A9E2D" w:rsidR="00333FAA" w:rsidRPr="00250C60" w:rsidRDefault="00333FAA" w:rsidP="004B70C7">
      <w:pPr>
        <w:pStyle w:val="Heading2"/>
        <w:ind w:left="567"/>
        <w:rPr>
          <w:rFonts w:ascii="Arial" w:hAnsi="Arial"/>
          <w:sz w:val="28"/>
          <w:szCs w:val="28"/>
        </w:rPr>
      </w:pPr>
      <w:r w:rsidRPr="00250C60">
        <w:rPr>
          <w:rFonts w:ascii="Arial" w:hAnsi="Arial"/>
          <w:sz w:val="28"/>
          <w:szCs w:val="28"/>
        </w:rPr>
        <w:t>Current situation</w:t>
      </w:r>
    </w:p>
    <w:p w14:paraId="0C9D59A2" w14:textId="0B844E48" w:rsidR="00FE026F" w:rsidRDefault="00FE026F" w:rsidP="004B70C7">
      <w:pPr>
        <w:ind w:left="567" w:hanging="578"/>
      </w:pPr>
    </w:p>
    <w:p w14:paraId="1DC074B7" w14:textId="14551BB4" w:rsidR="004B70C7" w:rsidRPr="004B70C7" w:rsidRDefault="004B70C7" w:rsidP="004B70C7">
      <w:pPr>
        <w:pStyle w:val="ListParagraph"/>
        <w:ind w:left="567"/>
        <w:rPr>
          <w:rFonts w:cs="Arial"/>
          <w:szCs w:val="24"/>
          <w:u w:val="single"/>
        </w:rPr>
      </w:pPr>
      <w:r w:rsidRPr="004B70C7">
        <w:rPr>
          <w:rFonts w:cs="Arial"/>
          <w:szCs w:val="24"/>
          <w:u w:val="single"/>
        </w:rPr>
        <w:t>Paediatric Therapy Services</w:t>
      </w:r>
    </w:p>
    <w:p w14:paraId="6D234865" w14:textId="77777777" w:rsidR="004B70C7" w:rsidRPr="004B70C7" w:rsidRDefault="004B70C7" w:rsidP="004B70C7">
      <w:pPr>
        <w:ind w:left="567" w:hanging="578"/>
        <w:rPr>
          <w:rFonts w:cs="Arial"/>
          <w:szCs w:val="24"/>
          <w:u w:val="single"/>
        </w:rPr>
      </w:pPr>
    </w:p>
    <w:p w14:paraId="05700671" w14:textId="77777777" w:rsidR="0059049F" w:rsidRDefault="003670D1" w:rsidP="00CC2CEC">
      <w:pPr>
        <w:pStyle w:val="ListParagraph"/>
        <w:numPr>
          <w:ilvl w:val="0"/>
          <w:numId w:val="2"/>
        </w:numPr>
        <w:ind w:left="567" w:hanging="567"/>
        <w:rPr>
          <w:rFonts w:cs="Arial"/>
          <w:szCs w:val="24"/>
        </w:rPr>
      </w:pPr>
      <w:r w:rsidRPr="003670D1">
        <w:rPr>
          <w:rFonts w:cs="Arial"/>
          <w:szCs w:val="24"/>
        </w:rPr>
        <w:t xml:space="preserve">Harrow’s jointly commissioned Speech and Language Therapy Service works as part of an integrated team to address the communication and feeding needs of children and young people. This involves training, joint assessment, target setting, joint planning, assessment for and provision of equipment and set up &amp; review of communication/ feeding programmes at school and at home.  </w:t>
      </w:r>
    </w:p>
    <w:p w14:paraId="4C56D39B" w14:textId="77777777" w:rsidR="0059049F" w:rsidRDefault="0059049F" w:rsidP="009A0880">
      <w:pPr>
        <w:pStyle w:val="ListParagraph"/>
        <w:ind w:left="567"/>
        <w:rPr>
          <w:rFonts w:cs="Arial"/>
          <w:szCs w:val="24"/>
        </w:rPr>
      </w:pPr>
    </w:p>
    <w:p w14:paraId="3699DA0A" w14:textId="44373521" w:rsidR="00390499" w:rsidRDefault="0010620E" w:rsidP="00CC2CEC">
      <w:pPr>
        <w:pStyle w:val="ListParagraph"/>
        <w:numPr>
          <w:ilvl w:val="0"/>
          <w:numId w:val="2"/>
        </w:numPr>
        <w:ind w:left="567" w:hanging="567"/>
        <w:rPr>
          <w:rFonts w:cs="Arial"/>
          <w:szCs w:val="24"/>
        </w:rPr>
      </w:pPr>
      <w:r>
        <w:rPr>
          <w:rFonts w:cs="Arial"/>
          <w:szCs w:val="24"/>
        </w:rPr>
        <w:t xml:space="preserve">This service is </w:t>
      </w:r>
      <w:r w:rsidR="00FC4BA9">
        <w:rPr>
          <w:rFonts w:cs="Arial"/>
          <w:szCs w:val="24"/>
        </w:rPr>
        <w:t xml:space="preserve">necessary in order to </w:t>
      </w:r>
      <w:r w:rsidR="00432FA6" w:rsidRPr="00432FA6">
        <w:rPr>
          <w:rFonts w:cs="Arial"/>
          <w:szCs w:val="24"/>
        </w:rPr>
        <w:t>giv</w:t>
      </w:r>
      <w:r w:rsidR="003F6F4C">
        <w:rPr>
          <w:rFonts w:cs="Arial"/>
          <w:szCs w:val="24"/>
        </w:rPr>
        <w:t>e</w:t>
      </w:r>
      <w:r w:rsidR="00432FA6" w:rsidRPr="00432FA6">
        <w:rPr>
          <w:rFonts w:cs="Arial"/>
          <w:szCs w:val="24"/>
        </w:rPr>
        <w:t xml:space="preserve"> every child the best start, with speech, language and communication skills</w:t>
      </w:r>
      <w:r w:rsidR="00033FEE">
        <w:rPr>
          <w:rFonts w:cs="Arial"/>
          <w:szCs w:val="24"/>
        </w:rPr>
        <w:t xml:space="preserve"> being </w:t>
      </w:r>
      <w:r w:rsidR="00432FA6" w:rsidRPr="00432FA6">
        <w:rPr>
          <w:rFonts w:cs="Arial"/>
          <w:szCs w:val="24"/>
        </w:rPr>
        <w:t xml:space="preserve">an important indicator of child wellbeing.  These skills shape a child’s ability to learn, develop </w:t>
      </w:r>
      <w:r w:rsidR="00A365D6">
        <w:rPr>
          <w:rFonts w:cs="Arial"/>
          <w:szCs w:val="24"/>
        </w:rPr>
        <w:t xml:space="preserve">relationships </w:t>
      </w:r>
      <w:r w:rsidR="00432FA6" w:rsidRPr="00432FA6">
        <w:rPr>
          <w:rFonts w:cs="Arial"/>
          <w:szCs w:val="24"/>
        </w:rPr>
        <w:t>and their future life chances.</w:t>
      </w:r>
    </w:p>
    <w:p w14:paraId="2A01C160" w14:textId="77777777" w:rsidR="00390499" w:rsidRDefault="00390499" w:rsidP="00390499">
      <w:pPr>
        <w:pStyle w:val="ListParagraph"/>
        <w:ind w:left="567"/>
        <w:rPr>
          <w:rFonts w:cs="Arial"/>
          <w:szCs w:val="24"/>
        </w:rPr>
      </w:pPr>
    </w:p>
    <w:p w14:paraId="1CE36797" w14:textId="1D1E8325" w:rsidR="003F22F9" w:rsidRDefault="001F5B8D" w:rsidP="00CC2CEC">
      <w:pPr>
        <w:pStyle w:val="ListParagraph"/>
        <w:numPr>
          <w:ilvl w:val="0"/>
          <w:numId w:val="2"/>
        </w:numPr>
        <w:ind w:left="567" w:hanging="567"/>
        <w:rPr>
          <w:rFonts w:cs="Arial"/>
          <w:szCs w:val="24"/>
        </w:rPr>
      </w:pPr>
      <w:r>
        <w:rPr>
          <w:rFonts w:cs="Arial"/>
          <w:szCs w:val="24"/>
        </w:rPr>
        <w:t xml:space="preserve">The </w:t>
      </w:r>
      <w:r w:rsidRPr="001F5B8D">
        <w:rPr>
          <w:rFonts w:cs="Arial"/>
          <w:szCs w:val="24"/>
        </w:rPr>
        <w:t xml:space="preserve">Paediatric Occupational Therapy Service provides advice, guidance and training to children, young people and their parents/carers, </w:t>
      </w:r>
      <w:r>
        <w:rPr>
          <w:rFonts w:cs="Arial"/>
          <w:szCs w:val="24"/>
        </w:rPr>
        <w:t>c</w:t>
      </w:r>
      <w:r w:rsidRPr="001F5B8D">
        <w:rPr>
          <w:rFonts w:cs="Arial"/>
          <w:szCs w:val="24"/>
        </w:rPr>
        <w:t xml:space="preserve">hildren’s </w:t>
      </w:r>
      <w:r>
        <w:rPr>
          <w:rFonts w:cs="Arial"/>
          <w:szCs w:val="24"/>
        </w:rPr>
        <w:t>c</w:t>
      </w:r>
      <w:r w:rsidRPr="001F5B8D">
        <w:rPr>
          <w:rFonts w:cs="Arial"/>
          <w:szCs w:val="24"/>
        </w:rPr>
        <w:t>entres, pre-schools, nurseries, schools, further education and peers including the voluntary sector</w:t>
      </w:r>
      <w:r>
        <w:rPr>
          <w:rFonts w:cs="Arial"/>
          <w:szCs w:val="24"/>
        </w:rPr>
        <w:t xml:space="preserve">.  </w:t>
      </w:r>
    </w:p>
    <w:p w14:paraId="1567AACF" w14:textId="77777777" w:rsidR="003F22F9" w:rsidRPr="003F22F9" w:rsidRDefault="003F22F9" w:rsidP="003F22F9">
      <w:pPr>
        <w:rPr>
          <w:rFonts w:cs="Arial"/>
          <w:szCs w:val="24"/>
        </w:rPr>
      </w:pPr>
    </w:p>
    <w:p w14:paraId="29285E96" w14:textId="4F7B8E11" w:rsidR="003F22F9" w:rsidRPr="00CC2CEC" w:rsidRDefault="003F22F9" w:rsidP="00CC2CEC">
      <w:pPr>
        <w:pStyle w:val="ListParagraph"/>
        <w:numPr>
          <w:ilvl w:val="0"/>
          <w:numId w:val="2"/>
        </w:numPr>
        <w:ind w:left="567" w:hanging="567"/>
        <w:rPr>
          <w:rFonts w:cs="Arial"/>
          <w:szCs w:val="24"/>
        </w:rPr>
      </w:pPr>
      <w:r w:rsidRPr="00CC2CEC">
        <w:rPr>
          <w:rFonts w:cs="Arial"/>
          <w:szCs w:val="24"/>
        </w:rPr>
        <w:t xml:space="preserve">Children and young people with short term conditions receive support and/or a </w:t>
      </w:r>
      <w:r w:rsidR="005665CE" w:rsidRPr="00CC2CEC">
        <w:rPr>
          <w:rFonts w:cs="Arial"/>
          <w:szCs w:val="24"/>
        </w:rPr>
        <w:t>short-term</w:t>
      </w:r>
      <w:r w:rsidRPr="00CC2CEC">
        <w:rPr>
          <w:rFonts w:cs="Arial"/>
          <w:szCs w:val="24"/>
        </w:rPr>
        <w:t xml:space="preserve"> course of therapy or treatment to enable them to access educational establishments and to provide them with the tools and techniques to self-manage their condition.  </w:t>
      </w:r>
    </w:p>
    <w:p w14:paraId="0CC1595E" w14:textId="77777777" w:rsidR="003F22F9" w:rsidRPr="003F22F9" w:rsidRDefault="003F22F9" w:rsidP="00CC2CEC">
      <w:pPr>
        <w:pStyle w:val="ListParagraph"/>
        <w:ind w:left="360"/>
        <w:rPr>
          <w:rFonts w:cs="Arial"/>
          <w:szCs w:val="24"/>
        </w:rPr>
      </w:pPr>
    </w:p>
    <w:p w14:paraId="20936AD4" w14:textId="4C73A22C" w:rsidR="003F22F9" w:rsidRDefault="003F22F9" w:rsidP="00CC2CEC">
      <w:pPr>
        <w:pStyle w:val="ListParagraph"/>
        <w:numPr>
          <w:ilvl w:val="0"/>
          <w:numId w:val="2"/>
        </w:numPr>
        <w:ind w:left="567" w:hanging="567"/>
        <w:rPr>
          <w:rFonts w:cs="Arial"/>
          <w:szCs w:val="24"/>
        </w:rPr>
      </w:pPr>
      <w:r w:rsidRPr="003F22F9">
        <w:rPr>
          <w:rFonts w:cs="Arial"/>
          <w:szCs w:val="24"/>
        </w:rPr>
        <w:t xml:space="preserve">The service also provides support, equipment assessments and therapy or treatment to children and young people who have a </w:t>
      </w:r>
      <w:r w:rsidR="005665CE" w:rsidRPr="003F22F9">
        <w:rPr>
          <w:rFonts w:cs="Arial"/>
          <w:szCs w:val="24"/>
        </w:rPr>
        <w:t>long-term</w:t>
      </w:r>
      <w:r w:rsidRPr="003F22F9">
        <w:rPr>
          <w:rFonts w:cs="Arial"/>
          <w:szCs w:val="24"/>
        </w:rPr>
        <w:t xml:space="preserve"> condition such as a physical disability including those with an Education Health Care Plan (EHC Plan).  </w:t>
      </w:r>
    </w:p>
    <w:p w14:paraId="23AAB66B" w14:textId="77777777" w:rsidR="00AA0529" w:rsidRPr="00AA0529" w:rsidRDefault="00AA0529" w:rsidP="0091113A">
      <w:pPr>
        <w:pStyle w:val="ListParagraph"/>
        <w:ind w:left="360"/>
        <w:rPr>
          <w:rFonts w:cs="Arial"/>
          <w:szCs w:val="24"/>
        </w:rPr>
      </w:pPr>
    </w:p>
    <w:p w14:paraId="7CBA66D6" w14:textId="7C52D1D4" w:rsidR="008A742B" w:rsidRPr="008A742B" w:rsidRDefault="00AA0529" w:rsidP="005F33EA">
      <w:pPr>
        <w:pStyle w:val="ListParagraph"/>
        <w:numPr>
          <w:ilvl w:val="0"/>
          <w:numId w:val="2"/>
        </w:numPr>
        <w:ind w:left="567" w:hanging="567"/>
        <w:rPr>
          <w:rFonts w:cs="Arial"/>
          <w:szCs w:val="24"/>
        </w:rPr>
      </w:pPr>
      <w:r w:rsidRPr="008A742B">
        <w:rPr>
          <w:rFonts w:cs="Arial"/>
          <w:szCs w:val="24"/>
        </w:rPr>
        <w:t>Under Section 26 of the Children and Families Act 2014, Local Authorities and CCGs must make joint commissioning arrangements for education, health and care provision for children and young people with SEN or disabilities</w:t>
      </w:r>
      <w:r w:rsidR="008A30B8">
        <w:rPr>
          <w:rFonts w:cs="Arial"/>
          <w:szCs w:val="24"/>
        </w:rPr>
        <w:t xml:space="preserve"> and to </w:t>
      </w:r>
      <w:r w:rsidR="008A742B" w:rsidRPr="008A742B">
        <w:rPr>
          <w:rFonts w:cs="Arial"/>
          <w:szCs w:val="24"/>
        </w:rPr>
        <w:t>promote wellbeing and improve quality of provision for children and young people with SEND.  This includes SALT and OT services.</w:t>
      </w:r>
    </w:p>
    <w:p w14:paraId="11C68FD6" w14:textId="77777777" w:rsidR="004B70C7" w:rsidRDefault="004B70C7" w:rsidP="004B70C7">
      <w:pPr>
        <w:ind w:left="567" w:hanging="578"/>
        <w:rPr>
          <w:rFonts w:cs="Arial"/>
          <w:szCs w:val="24"/>
        </w:rPr>
      </w:pPr>
    </w:p>
    <w:p w14:paraId="411DCC43" w14:textId="41D1BF29" w:rsidR="004B70C7" w:rsidRPr="004B70C7" w:rsidRDefault="004B70C7" w:rsidP="004B70C7">
      <w:pPr>
        <w:pStyle w:val="ListParagraph"/>
        <w:numPr>
          <w:ilvl w:val="0"/>
          <w:numId w:val="2"/>
        </w:numPr>
        <w:ind w:left="567" w:hanging="578"/>
        <w:rPr>
          <w:rFonts w:cs="Arial"/>
          <w:szCs w:val="24"/>
        </w:rPr>
      </w:pPr>
      <w:r w:rsidRPr="004B70C7">
        <w:rPr>
          <w:rFonts w:cs="Arial"/>
          <w:szCs w:val="24"/>
        </w:rPr>
        <w:t xml:space="preserve">London North West University Healthcare NHS Trust (LNWH) currently provides a range of community services for Brent, Harrow and Ealing CCGs in NWL including SALT and OT. </w:t>
      </w:r>
      <w:r w:rsidRPr="004B70C7">
        <w:rPr>
          <w:rFonts w:cs="Arial"/>
          <w:lang w:val="en-US"/>
        </w:rPr>
        <w:t>Brent CCG is the lead commissioner for the LNWUHT Community Services and the contract ends on 31 March 2021.</w:t>
      </w:r>
      <w:r w:rsidRPr="004B70C7">
        <w:rPr>
          <w:rFonts w:cs="Arial"/>
          <w:szCs w:val="24"/>
        </w:rPr>
        <w:t xml:space="preserve"> </w:t>
      </w:r>
    </w:p>
    <w:p w14:paraId="2CCA900C" w14:textId="77777777" w:rsidR="004B70C7" w:rsidRDefault="004B70C7" w:rsidP="004B70C7">
      <w:pPr>
        <w:ind w:left="567" w:hanging="578"/>
        <w:rPr>
          <w:rFonts w:cs="Arial"/>
          <w:szCs w:val="24"/>
        </w:rPr>
      </w:pPr>
    </w:p>
    <w:p w14:paraId="649EDF1B" w14:textId="2BC5DC56" w:rsidR="004B70C7" w:rsidRPr="004B70C7" w:rsidRDefault="004B70C7" w:rsidP="004B70C7">
      <w:pPr>
        <w:pStyle w:val="ListParagraph"/>
        <w:numPr>
          <w:ilvl w:val="0"/>
          <w:numId w:val="2"/>
        </w:numPr>
        <w:ind w:left="567" w:hanging="578"/>
        <w:rPr>
          <w:rFonts w:cs="Arial"/>
        </w:rPr>
      </w:pPr>
      <w:r w:rsidRPr="004B70C7">
        <w:rPr>
          <w:rFonts w:cs="Arial"/>
        </w:rPr>
        <w:t xml:space="preserve">Harrow Council jointly commissions with Harrow CCG speech and language services and will from </w:t>
      </w:r>
      <w:r w:rsidR="0070438F">
        <w:rPr>
          <w:rFonts w:cs="Arial"/>
        </w:rPr>
        <w:t>1</w:t>
      </w:r>
      <w:r w:rsidR="0070438F" w:rsidRPr="000547EF">
        <w:rPr>
          <w:rFonts w:cs="Arial"/>
          <w:vertAlign w:val="superscript"/>
        </w:rPr>
        <w:t>st</w:t>
      </w:r>
      <w:r w:rsidR="0070438F">
        <w:rPr>
          <w:rFonts w:cs="Arial"/>
        </w:rPr>
        <w:t xml:space="preserve"> </w:t>
      </w:r>
      <w:r w:rsidRPr="004B70C7">
        <w:rPr>
          <w:rFonts w:cs="Arial"/>
        </w:rPr>
        <w:t>April 2021 commission occupational therapy. These are statutory services for the Council and CCG and are included in the community-based services commissioned by Brent CCG.</w:t>
      </w:r>
    </w:p>
    <w:p w14:paraId="1ED2180A" w14:textId="77777777" w:rsidR="004B70C7" w:rsidRDefault="004B70C7" w:rsidP="004B70C7">
      <w:pPr>
        <w:ind w:left="567" w:hanging="578"/>
        <w:rPr>
          <w:rFonts w:cs="Arial"/>
        </w:rPr>
      </w:pPr>
    </w:p>
    <w:p w14:paraId="68E90B35" w14:textId="42C0F7ED" w:rsidR="004B70C7" w:rsidRPr="004B70C7" w:rsidRDefault="004B70C7" w:rsidP="004B70C7">
      <w:pPr>
        <w:pStyle w:val="ListParagraph"/>
        <w:numPr>
          <w:ilvl w:val="0"/>
          <w:numId w:val="2"/>
        </w:numPr>
        <w:ind w:left="567" w:hanging="578"/>
        <w:rPr>
          <w:rFonts w:cs="Arial"/>
        </w:rPr>
      </w:pPr>
      <w:r w:rsidRPr="004B70C7">
        <w:rPr>
          <w:rFonts w:cs="Arial"/>
          <w:lang w:val="en-US"/>
        </w:rPr>
        <w:t xml:space="preserve">There are a number of community service health providers including London North West University Hospital NHS Trust (LNWHUT), Central North West London (CNWL) and Central London Community Hospital Trust (CLCH). </w:t>
      </w:r>
      <w:r w:rsidRPr="004B70C7">
        <w:rPr>
          <w:rFonts w:cs="Arial"/>
        </w:rPr>
        <w:t>North West London Integrated Care System (NWLICS), which includes Harrow and Brent Local Authorities and CCGs, has a range of objectives to promote integrated care, improve outcomes including equity of access, address health inequalities and improve local care provisions. This includes consolidating the provider landscape.</w:t>
      </w:r>
    </w:p>
    <w:p w14:paraId="53BAF1DB" w14:textId="77777777" w:rsidR="004B70C7" w:rsidRDefault="004B70C7" w:rsidP="004B70C7">
      <w:pPr>
        <w:ind w:left="567" w:hanging="578"/>
        <w:rPr>
          <w:rFonts w:cs="Arial"/>
          <w:lang w:val="en-US"/>
        </w:rPr>
      </w:pPr>
    </w:p>
    <w:p w14:paraId="610F2DF5" w14:textId="21B5617A" w:rsidR="00F80AD4" w:rsidRDefault="00F80AD4" w:rsidP="00F80AD4">
      <w:pPr>
        <w:pStyle w:val="ListParagraph"/>
        <w:numPr>
          <w:ilvl w:val="0"/>
          <w:numId w:val="2"/>
        </w:numPr>
        <w:ind w:left="567" w:hanging="578"/>
        <w:rPr>
          <w:rFonts w:cs="Arial"/>
          <w:szCs w:val="24"/>
        </w:rPr>
      </w:pPr>
      <w:r w:rsidRPr="004B70C7">
        <w:rPr>
          <w:rFonts w:cs="Arial"/>
          <w:szCs w:val="24"/>
        </w:rPr>
        <w:t xml:space="preserve">In this NWL context, Brent and Harrow CCGs </w:t>
      </w:r>
      <w:r>
        <w:rPr>
          <w:rFonts w:cs="Arial"/>
          <w:szCs w:val="24"/>
        </w:rPr>
        <w:t xml:space="preserve">have assessed </w:t>
      </w:r>
      <w:r w:rsidRPr="004B70C7">
        <w:rPr>
          <w:rFonts w:cs="Arial"/>
          <w:szCs w:val="24"/>
        </w:rPr>
        <w:t>options to consolidat</w:t>
      </w:r>
      <w:r>
        <w:rPr>
          <w:rFonts w:cs="Arial"/>
          <w:szCs w:val="24"/>
        </w:rPr>
        <w:t>e</w:t>
      </w:r>
      <w:r w:rsidRPr="004B70C7">
        <w:rPr>
          <w:rFonts w:cs="Arial"/>
          <w:szCs w:val="24"/>
        </w:rPr>
        <w:t xml:space="preserve"> community service provi</w:t>
      </w:r>
      <w:r>
        <w:rPr>
          <w:rFonts w:cs="Arial"/>
          <w:szCs w:val="24"/>
        </w:rPr>
        <w:t>sion</w:t>
      </w:r>
      <w:r w:rsidRPr="004B70C7">
        <w:rPr>
          <w:rFonts w:cs="Arial"/>
          <w:szCs w:val="24"/>
        </w:rPr>
        <w:t>. Th</w:t>
      </w:r>
      <w:r>
        <w:rPr>
          <w:rFonts w:cs="Arial"/>
          <w:szCs w:val="24"/>
        </w:rPr>
        <w:t>e</w:t>
      </w:r>
      <w:r w:rsidRPr="004B70C7">
        <w:rPr>
          <w:rFonts w:cs="Arial"/>
          <w:szCs w:val="24"/>
        </w:rPr>
        <w:t xml:space="preserve"> </w:t>
      </w:r>
      <w:r>
        <w:rPr>
          <w:rFonts w:cs="Arial"/>
          <w:szCs w:val="24"/>
        </w:rPr>
        <w:t>outcome of this process has been the identification of CNWL as the preferred provider of CCG commissioned paediatric services in Harrow.</w:t>
      </w:r>
    </w:p>
    <w:p w14:paraId="510A755F" w14:textId="77777777" w:rsidR="00905C46" w:rsidRPr="00905C46" w:rsidRDefault="00905C46" w:rsidP="00905C46">
      <w:pPr>
        <w:pStyle w:val="ListParagraph"/>
        <w:rPr>
          <w:rFonts w:cs="Arial"/>
          <w:szCs w:val="24"/>
        </w:rPr>
      </w:pPr>
    </w:p>
    <w:p w14:paraId="664AD35C" w14:textId="357EA71B" w:rsidR="00585077" w:rsidRDefault="00585077" w:rsidP="002C7996">
      <w:pPr>
        <w:pStyle w:val="ListParagraph"/>
        <w:numPr>
          <w:ilvl w:val="0"/>
          <w:numId w:val="2"/>
        </w:numPr>
        <w:ind w:left="567" w:hanging="567"/>
        <w:rPr>
          <w:rFonts w:cs="Arial"/>
          <w:szCs w:val="24"/>
        </w:rPr>
      </w:pPr>
      <w:r>
        <w:rPr>
          <w:rFonts w:cs="Arial"/>
          <w:szCs w:val="24"/>
        </w:rPr>
        <w:t>The key consideration in the evaluation of expressions of interest from CLCH and CNWL that resulted in this decision was the benefit of integrating health commissioned paediatric services with those currently commissioned by the local authority from CNWL.</w:t>
      </w:r>
    </w:p>
    <w:p w14:paraId="0CF4A2A0" w14:textId="77777777" w:rsidR="007A2690" w:rsidRPr="007A2690" w:rsidRDefault="007A2690" w:rsidP="007A2690">
      <w:pPr>
        <w:pStyle w:val="ListParagraph"/>
        <w:rPr>
          <w:rFonts w:cs="Arial"/>
          <w:szCs w:val="24"/>
        </w:rPr>
      </w:pPr>
    </w:p>
    <w:p w14:paraId="32993EDB" w14:textId="77777777" w:rsidR="00090B5C" w:rsidRPr="00090B5C" w:rsidRDefault="00090B5C" w:rsidP="002C7996">
      <w:pPr>
        <w:pStyle w:val="ListParagraph"/>
        <w:numPr>
          <w:ilvl w:val="0"/>
          <w:numId w:val="2"/>
        </w:numPr>
        <w:ind w:left="567" w:hanging="567"/>
        <w:rPr>
          <w:rFonts w:cs="Arial"/>
          <w:szCs w:val="24"/>
        </w:rPr>
      </w:pPr>
      <w:r w:rsidRPr="00090B5C">
        <w:rPr>
          <w:rFonts w:cs="Arial"/>
          <w:szCs w:val="24"/>
        </w:rPr>
        <w:t>The CCG intends to make a direct award of the contract for community paediatric services to CNWL.  A contract will be signed by 31/03/21.</w:t>
      </w:r>
    </w:p>
    <w:p w14:paraId="3C0D2EDA" w14:textId="77777777" w:rsidR="00090B5C" w:rsidRPr="00BB442F" w:rsidRDefault="00090B5C" w:rsidP="00BB442F">
      <w:pPr>
        <w:rPr>
          <w:rFonts w:cs="Arial"/>
          <w:szCs w:val="24"/>
        </w:rPr>
      </w:pPr>
    </w:p>
    <w:p w14:paraId="6D6893AD" w14:textId="39DD0F54" w:rsidR="00090B5C" w:rsidRDefault="00090B5C" w:rsidP="002C7996">
      <w:pPr>
        <w:pStyle w:val="ListParagraph"/>
        <w:numPr>
          <w:ilvl w:val="0"/>
          <w:numId w:val="2"/>
        </w:numPr>
        <w:ind w:left="567" w:hanging="567"/>
        <w:rPr>
          <w:rFonts w:cs="Arial"/>
          <w:szCs w:val="24"/>
        </w:rPr>
      </w:pPr>
      <w:r w:rsidRPr="00324672">
        <w:rPr>
          <w:rFonts w:cs="Arial"/>
          <w:szCs w:val="24"/>
        </w:rPr>
        <w:lastRenderedPageBreak/>
        <w:t xml:space="preserve">This means that there will be new contracts in place for 1st April 2021 including, with CNWL, the jointly commissioned SALT and OT services by Harrow CCG and Harrow Council. </w:t>
      </w:r>
    </w:p>
    <w:p w14:paraId="0E2E8523" w14:textId="77777777" w:rsidR="00324672" w:rsidRPr="00324672" w:rsidRDefault="00324672" w:rsidP="00324672">
      <w:pPr>
        <w:pStyle w:val="ListParagraph"/>
        <w:rPr>
          <w:rFonts w:cs="Arial"/>
          <w:szCs w:val="24"/>
        </w:rPr>
      </w:pPr>
    </w:p>
    <w:p w14:paraId="4CED600D" w14:textId="68A1A600" w:rsidR="004B70C7" w:rsidRDefault="00C27D72" w:rsidP="00504A78">
      <w:pPr>
        <w:pStyle w:val="ListParagraph"/>
        <w:numPr>
          <w:ilvl w:val="0"/>
          <w:numId w:val="2"/>
        </w:numPr>
        <w:ind w:left="567" w:hanging="578"/>
        <w:rPr>
          <w:rFonts w:cs="Arial"/>
          <w:szCs w:val="24"/>
        </w:rPr>
      </w:pPr>
      <w:r w:rsidRPr="002C7996">
        <w:rPr>
          <w:rFonts w:cs="Arial"/>
          <w:szCs w:val="24"/>
        </w:rPr>
        <w:t xml:space="preserve">Brent and Harrow CCG and the NWL Integrated Care Service (ICS) are working closely with the Local Authorities and other stakeholders to ensure the smooth transfer of services from the current provider to CNWL. </w:t>
      </w:r>
    </w:p>
    <w:p w14:paraId="1C6A4C08" w14:textId="77777777" w:rsidR="002C7996" w:rsidRPr="002C7996" w:rsidRDefault="002C7996" w:rsidP="002C7996">
      <w:pPr>
        <w:rPr>
          <w:rFonts w:cs="Arial"/>
          <w:szCs w:val="24"/>
        </w:rPr>
      </w:pPr>
    </w:p>
    <w:p w14:paraId="6DBBDCFF" w14:textId="5F66771E" w:rsidR="00FE026F" w:rsidRPr="004B70C7" w:rsidRDefault="00F45FE9" w:rsidP="004B70C7">
      <w:pPr>
        <w:pStyle w:val="ListParagraph"/>
        <w:numPr>
          <w:ilvl w:val="0"/>
          <w:numId w:val="2"/>
        </w:numPr>
        <w:ind w:left="567" w:hanging="578"/>
        <w:rPr>
          <w:rFonts w:eastAsia="+mn-ea" w:cs="Arial"/>
          <w:color w:val="000000"/>
          <w:kern w:val="24"/>
          <w:szCs w:val="24"/>
        </w:rPr>
      </w:pPr>
      <w:r w:rsidRPr="004B70C7">
        <w:rPr>
          <w:rFonts w:eastAsia="+mn-ea" w:cs="Arial"/>
          <w:color w:val="000000"/>
          <w:kern w:val="24"/>
          <w:szCs w:val="24"/>
          <w:lang w:val="en-US"/>
        </w:rPr>
        <w:t xml:space="preserve">To deliver the </w:t>
      </w:r>
      <w:r w:rsidR="00666884" w:rsidRPr="004B70C7">
        <w:rPr>
          <w:rFonts w:eastAsia="+mn-ea" w:cs="Arial"/>
          <w:color w:val="000000"/>
          <w:kern w:val="24"/>
          <w:szCs w:val="24"/>
          <w:lang w:val="en-US"/>
        </w:rPr>
        <w:t>effective transfer of services</w:t>
      </w:r>
      <w:r w:rsidRPr="004B70C7">
        <w:rPr>
          <w:rFonts w:eastAsia="+mn-ea" w:cs="Arial"/>
          <w:color w:val="000000"/>
          <w:kern w:val="24"/>
          <w:szCs w:val="24"/>
          <w:lang w:val="en-US"/>
        </w:rPr>
        <w:t xml:space="preserve"> the CCG has established a time limited </w:t>
      </w:r>
      <w:r w:rsidRPr="004B70C7">
        <w:rPr>
          <w:rFonts w:eastAsia="+mn-ea" w:cs="Arial"/>
          <w:color w:val="000000"/>
          <w:kern w:val="24"/>
          <w:szCs w:val="24"/>
        </w:rPr>
        <w:t>Community Services Transfer Working Group</w:t>
      </w:r>
      <w:r w:rsidRPr="004B70C7">
        <w:rPr>
          <w:rFonts w:eastAsia="+mn-ea" w:cs="Arial"/>
          <w:b/>
          <w:bCs/>
          <w:color w:val="000000"/>
          <w:kern w:val="24"/>
          <w:szCs w:val="24"/>
        </w:rPr>
        <w:t xml:space="preserve"> </w:t>
      </w:r>
      <w:r w:rsidRPr="004B70C7">
        <w:rPr>
          <w:rFonts w:eastAsia="+mn-ea" w:cs="Arial"/>
          <w:color w:val="000000"/>
          <w:kern w:val="24"/>
          <w:szCs w:val="24"/>
          <w:lang w:val="en-US"/>
        </w:rPr>
        <w:t xml:space="preserve">with representation from across the health and social care system. The Working Group </w:t>
      </w:r>
      <w:r w:rsidR="004B70C7" w:rsidRPr="004B70C7">
        <w:rPr>
          <w:rFonts w:eastAsia="+mn-ea" w:cs="Arial"/>
          <w:color w:val="000000"/>
          <w:kern w:val="24"/>
          <w:szCs w:val="24"/>
          <w:lang w:val="en-US"/>
        </w:rPr>
        <w:t xml:space="preserve">is working </w:t>
      </w:r>
      <w:r w:rsidRPr="004B70C7">
        <w:rPr>
          <w:rFonts w:eastAsia="+mn-ea" w:cs="Arial"/>
          <w:color w:val="000000"/>
          <w:kern w:val="24"/>
          <w:szCs w:val="24"/>
        </w:rPr>
        <w:t>to ensure the smooth transfer of services from the current provider to an existing NWL community services provider.</w:t>
      </w:r>
      <w:r w:rsidR="004B70C7" w:rsidRPr="004B70C7">
        <w:rPr>
          <w:rFonts w:eastAsia="+mn-ea" w:cs="Arial"/>
          <w:color w:val="000000"/>
          <w:kern w:val="24"/>
          <w:szCs w:val="24"/>
        </w:rPr>
        <w:t xml:space="preserve"> Harrow Council is represented on the Working Group. </w:t>
      </w:r>
    </w:p>
    <w:p w14:paraId="4267A7A4" w14:textId="1D9714C0" w:rsidR="00F2782A" w:rsidRDefault="00F2782A" w:rsidP="004B70C7">
      <w:pPr>
        <w:ind w:left="567" w:hanging="578"/>
        <w:rPr>
          <w:rFonts w:eastAsia="+mn-ea" w:cs="Arial"/>
          <w:color w:val="000000"/>
          <w:kern w:val="24"/>
          <w:szCs w:val="24"/>
        </w:rPr>
      </w:pPr>
    </w:p>
    <w:p w14:paraId="66016690" w14:textId="6E634196" w:rsidR="005723AA" w:rsidRPr="004B70C7" w:rsidRDefault="005723AA" w:rsidP="004B70C7">
      <w:pPr>
        <w:pStyle w:val="ListParagraph"/>
        <w:numPr>
          <w:ilvl w:val="0"/>
          <w:numId w:val="2"/>
        </w:numPr>
        <w:ind w:left="567" w:hanging="578"/>
        <w:contextualSpacing/>
        <w:rPr>
          <w:rFonts w:cs="Arial"/>
          <w:szCs w:val="22"/>
          <w:lang w:eastAsia="en-GB"/>
        </w:rPr>
      </w:pPr>
      <w:r w:rsidRPr="004B70C7">
        <w:rPr>
          <w:rFonts w:eastAsia="+mn-ea" w:cs="Arial"/>
          <w:color w:val="000000"/>
          <w:kern w:val="24"/>
          <w:szCs w:val="24"/>
          <w:lang w:eastAsia="en-GB"/>
        </w:rPr>
        <w:t xml:space="preserve">The service transfer following the award of a contract is to be on the basis of a “lift and shift”, meaning that the process to award a contract will not need to focus on a new service model, but instead assume that the new provider will arrange for the services to transfer safely “as is”. Any changes to be made to the service delivery model will be considered after service transfer in </w:t>
      </w:r>
      <w:r w:rsidR="0070438F">
        <w:rPr>
          <w:rFonts w:eastAsia="+mn-ea" w:cs="Arial"/>
          <w:color w:val="000000"/>
          <w:kern w:val="24"/>
          <w:szCs w:val="24"/>
          <w:lang w:eastAsia="en-GB"/>
        </w:rPr>
        <w:t>1</w:t>
      </w:r>
      <w:r w:rsidR="0070438F" w:rsidRPr="000547EF">
        <w:rPr>
          <w:rFonts w:eastAsia="+mn-ea" w:cs="Arial"/>
          <w:color w:val="000000"/>
          <w:kern w:val="24"/>
          <w:szCs w:val="24"/>
          <w:vertAlign w:val="superscript"/>
          <w:lang w:eastAsia="en-GB"/>
        </w:rPr>
        <w:t>st</w:t>
      </w:r>
      <w:r w:rsidR="0070438F">
        <w:rPr>
          <w:rFonts w:eastAsia="+mn-ea" w:cs="Arial"/>
          <w:color w:val="000000"/>
          <w:kern w:val="24"/>
          <w:szCs w:val="24"/>
          <w:lang w:eastAsia="en-GB"/>
        </w:rPr>
        <w:t xml:space="preserve"> </w:t>
      </w:r>
      <w:r w:rsidRPr="004B70C7">
        <w:rPr>
          <w:rFonts w:eastAsia="+mn-ea" w:cs="Arial"/>
          <w:color w:val="000000"/>
          <w:kern w:val="24"/>
          <w:szCs w:val="24"/>
          <w:lang w:eastAsia="en-GB"/>
        </w:rPr>
        <w:t>April 2021, through a process of service transformation arising through engagement and agreement with ICS partners.</w:t>
      </w:r>
    </w:p>
    <w:p w14:paraId="03BD01ED" w14:textId="77777777" w:rsidR="00CD7F59" w:rsidRPr="00F45FE9" w:rsidRDefault="00CD7F59" w:rsidP="004B70C7">
      <w:pPr>
        <w:ind w:left="567" w:hanging="578"/>
        <w:rPr>
          <w:sz w:val="22"/>
          <w:szCs w:val="18"/>
        </w:rPr>
      </w:pPr>
    </w:p>
    <w:p w14:paraId="3A458F6F" w14:textId="52CC61FF" w:rsidR="00340E42" w:rsidRPr="004B70C7" w:rsidRDefault="004B70C7" w:rsidP="004B70C7">
      <w:pPr>
        <w:pStyle w:val="ListParagraph"/>
        <w:spacing w:line="216" w:lineRule="auto"/>
        <w:ind w:left="567"/>
        <w:contextualSpacing/>
        <w:rPr>
          <w:szCs w:val="18"/>
          <w:u w:val="single"/>
        </w:rPr>
      </w:pPr>
      <w:r w:rsidRPr="004B70C7">
        <w:rPr>
          <w:szCs w:val="18"/>
          <w:u w:val="single"/>
        </w:rPr>
        <w:t>People Services Overarching s75 Agreement</w:t>
      </w:r>
    </w:p>
    <w:p w14:paraId="1F5C0736" w14:textId="288D6288" w:rsidR="00340E42" w:rsidRDefault="00340E42" w:rsidP="004B70C7">
      <w:pPr>
        <w:spacing w:line="216" w:lineRule="auto"/>
        <w:ind w:left="567" w:hanging="578"/>
        <w:contextualSpacing/>
        <w:rPr>
          <w:szCs w:val="18"/>
        </w:rPr>
      </w:pPr>
    </w:p>
    <w:p w14:paraId="2CC5573B" w14:textId="77777777" w:rsidR="00AA19B5" w:rsidRPr="00AA19B5" w:rsidRDefault="00AA19B5" w:rsidP="00E61D49">
      <w:pPr>
        <w:pStyle w:val="ListParagraph"/>
        <w:numPr>
          <w:ilvl w:val="0"/>
          <w:numId w:val="2"/>
        </w:numPr>
        <w:ind w:left="567" w:hanging="567"/>
        <w:contextualSpacing/>
        <w:rPr>
          <w:szCs w:val="18"/>
        </w:rPr>
      </w:pPr>
      <w:r w:rsidRPr="00AA19B5">
        <w:rPr>
          <w:szCs w:val="18"/>
        </w:rPr>
        <w:t>The Council has responsibility for commissioning and/or providing social care services on behalf of the population of the borough of Harrow, whilst the CCG has the responsibility for commissioning health services pursuant to the 2006 Act in the borough of Harrow.</w:t>
      </w:r>
    </w:p>
    <w:p w14:paraId="29B04562" w14:textId="77777777" w:rsidR="00AA19B5" w:rsidRPr="00AA19B5" w:rsidRDefault="00AA19B5" w:rsidP="00AA19B5">
      <w:pPr>
        <w:pStyle w:val="ListParagraph"/>
        <w:contextualSpacing/>
        <w:rPr>
          <w:szCs w:val="18"/>
        </w:rPr>
      </w:pPr>
    </w:p>
    <w:p w14:paraId="6A6276FF" w14:textId="587A9650" w:rsidR="00AA19B5" w:rsidRDefault="00AA19B5" w:rsidP="00811238">
      <w:pPr>
        <w:pStyle w:val="ListParagraph"/>
        <w:numPr>
          <w:ilvl w:val="0"/>
          <w:numId w:val="2"/>
        </w:numPr>
        <w:ind w:left="567" w:hanging="567"/>
        <w:contextualSpacing/>
        <w:rPr>
          <w:szCs w:val="18"/>
        </w:rPr>
      </w:pPr>
      <w:r w:rsidRPr="00AA19B5">
        <w:rPr>
          <w:szCs w:val="18"/>
        </w:rPr>
        <w:t xml:space="preserve">Section 75 of the 2006 Act gives powers to local authorities and clinical commissioning groups to establish and maintain pooled funds out of which payment may be made towards expenditure incurred in the fulfilment of prescribed local authority functions and prescribed NHS functions. </w:t>
      </w:r>
    </w:p>
    <w:p w14:paraId="71E557E5" w14:textId="77777777" w:rsidR="00AA19B5" w:rsidRPr="00AA19B5" w:rsidRDefault="00AA19B5" w:rsidP="00AA19B5">
      <w:pPr>
        <w:contextualSpacing/>
        <w:rPr>
          <w:szCs w:val="18"/>
        </w:rPr>
      </w:pPr>
    </w:p>
    <w:p w14:paraId="14DF6580" w14:textId="1AC50887" w:rsidR="005A6D92" w:rsidRDefault="00AA19B5" w:rsidP="00291C16">
      <w:pPr>
        <w:pStyle w:val="ListParagraph"/>
        <w:numPr>
          <w:ilvl w:val="0"/>
          <w:numId w:val="2"/>
        </w:numPr>
        <w:ind w:left="567" w:hanging="567"/>
        <w:rPr>
          <w:szCs w:val="18"/>
        </w:rPr>
      </w:pPr>
      <w:r w:rsidRPr="005A6D92">
        <w:rPr>
          <w:szCs w:val="18"/>
        </w:rPr>
        <w:t xml:space="preserve">In October 2016 Cabinet gave approval for the local authority to jointly commission with the CCG the Future in Mind - emotional, well-being service for children and young people.  The commissioning arrangement for this service </w:t>
      </w:r>
      <w:r w:rsidR="006C7B44" w:rsidRPr="005A6D92">
        <w:rPr>
          <w:szCs w:val="18"/>
        </w:rPr>
        <w:t xml:space="preserve">was </w:t>
      </w:r>
      <w:r w:rsidR="00E9194F" w:rsidRPr="005A6D92">
        <w:rPr>
          <w:szCs w:val="18"/>
        </w:rPr>
        <w:t>through a</w:t>
      </w:r>
      <w:r w:rsidR="005A6D92" w:rsidRPr="005A6D92">
        <w:rPr>
          <w:szCs w:val="18"/>
        </w:rPr>
        <w:t>n</w:t>
      </w:r>
      <w:r w:rsidR="006C7B44" w:rsidRPr="005A6D92">
        <w:rPr>
          <w:szCs w:val="18"/>
        </w:rPr>
        <w:t xml:space="preserve"> overarching </w:t>
      </w:r>
      <w:r w:rsidR="009B78FD" w:rsidRPr="005A6D92">
        <w:rPr>
          <w:szCs w:val="18"/>
        </w:rPr>
        <w:t xml:space="preserve">People Services </w:t>
      </w:r>
      <w:r w:rsidR="003641A7" w:rsidRPr="005A6D92">
        <w:rPr>
          <w:szCs w:val="18"/>
        </w:rPr>
        <w:t>s75 Agreement</w:t>
      </w:r>
      <w:r w:rsidR="005A6D92" w:rsidRPr="005A6D92">
        <w:t xml:space="preserve"> </w:t>
      </w:r>
      <w:r w:rsidR="00682CBD">
        <w:t xml:space="preserve">that </w:t>
      </w:r>
      <w:r w:rsidR="005A6D92" w:rsidRPr="005A6D92">
        <w:rPr>
          <w:szCs w:val="18"/>
        </w:rPr>
        <w:t>commenced</w:t>
      </w:r>
      <w:r w:rsidR="00682CBD">
        <w:rPr>
          <w:szCs w:val="18"/>
        </w:rPr>
        <w:t xml:space="preserve"> on</w:t>
      </w:r>
      <w:r w:rsidR="005A6D92" w:rsidRPr="005A6D92">
        <w:rPr>
          <w:szCs w:val="18"/>
        </w:rPr>
        <w:t xml:space="preserve"> 1st April 2017 with a </w:t>
      </w:r>
      <w:r w:rsidR="005665CE" w:rsidRPr="005A6D92">
        <w:rPr>
          <w:szCs w:val="18"/>
        </w:rPr>
        <w:t>5-year</w:t>
      </w:r>
      <w:r w:rsidR="005A6D92" w:rsidRPr="005A6D92">
        <w:rPr>
          <w:szCs w:val="18"/>
        </w:rPr>
        <w:t xml:space="preserve"> period until 31st March 2022</w:t>
      </w:r>
      <w:r w:rsidR="00A66405">
        <w:rPr>
          <w:szCs w:val="18"/>
        </w:rPr>
        <w:t>.</w:t>
      </w:r>
    </w:p>
    <w:p w14:paraId="529958DD" w14:textId="77777777" w:rsidR="00324301" w:rsidRPr="00324301" w:rsidRDefault="00324301" w:rsidP="00324301">
      <w:pPr>
        <w:rPr>
          <w:szCs w:val="18"/>
        </w:rPr>
      </w:pPr>
    </w:p>
    <w:p w14:paraId="6F2D4E87" w14:textId="493E1819" w:rsidR="00854481" w:rsidRDefault="00F711C3" w:rsidP="00291C16">
      <w:pPr>
        <w:pStyle w:val="ListParagraph"/>
        <w:numPr>
          <w:ilvl w:val="0"/>
          <w:numId w:val="2"/>
        </w:numPr>
        <w:ind w:left="567" w:hanging="567"/>
        <w:contextualSpacing/>
        <w:rPr>
          <w:szCs w:val="18"/>
        </w:rPr>
      </w:pPr>
      <w:r w:rsidRPr="00F711C3">
        <w:rPr>
          <w:szCs w:val="18"/>
        </w:rPr>
        <w:t xml:space="preserve">The overarching </w:t>
      </w:r>
      <w:r w:rsidR="005A3DFB">
        <w:rPr>
          <w:szCs w:val="18"/>
        </w:rPr>
        <w:t xml:space="preserve">People Services </w:t>
      </w:r>
      <w:r w:rsidRPr="00F711C3">
        <w:rPr>
          <w:szCs w:val="18"/>
        </w:rPr>
        <w:t xml:space="preserve">Agreement </w:t>
      </w:r>
      <w:r w:rsidR="00364FFC">
        <w:rPr>
          <w:szCs w:val="18"/>
        </w:rPr>
        <w:t xml:space="preserve">requires </w:t>
      </w:r>
      <w:r w:rsidR="00C13521">
        <w:rPr>
          <w:szCs w:val="18"/>
        </w:rPr>
        <w:t xml:space="preserve">reviewing and </w:t>
      </w:r>
      <w:r w:rsidR="00364FFC">
        <w:rPr>
          <w:szCs w:val="18"/>
        </w:rPr>
        <w:t xml:space="preserve">updating </w:t>
      </w:r>
      <w:r w:rsidR="0095380D">
        <w:rPr>
          <w:szCs w:val="18"/>
        </w:rPr>
        <w:t xml:space="preserve">for </w:t>
      </w:r>
      <w:r w:rsidR="00094016">
        <w:rPr>
          <w:szCs w:val="18"/>
        </w:rPr>
        <w:t>1</w:t>
      </w:r>
      <w:r w:rsidR="00094016" w:rsidRPr="00094016">
        <w:rPr>
          <w:szCs w:val="18"/>
          <w:vertAlign w:val="superscript"/>
        </w:rPr>
        <w:t>st</w:t>
      </w:r>
      <w:r w:rsidR="00094016">
        <w:rPr>
          <w:szCs w:val="18"/>
        </w:rPr>
        <w:t xml:space="preserve"> April 2022 commencement.   </w:t>
      </w:r>
      <w:r w:rsidR="009D24FD">
        <w:rPr>
          <w:szCs w:val="18"/>
        </w:rPr>
        <w:t xml:space="preserve">By agreeing </w:t>
      </w:r>
      <w:r w:rsidR="00854481">
        <w:rPr>
          <w:szCs w:val="18"/>
        </w:rPr>
        <w:t xml:space="preserve">a further 5 year period </w:t>
      </w:r>
      <w:r w:rsidR="0070438F">
        <w:rPr>
          <w:szCs w:val="18"/>
        </w:rPr>
        <w:t>1</w:t>
      </w:r>
      <w:r w:rsidR="0070438F" w:rsidRPr="000547EF">
        <w:rPr>
          <w:szCs w:val="18"/>
          <w:vertAlign w:val="superscript"/>
        </w:rPr>
        <w:t>st</w:t>
      </w:r>
      <w:r w:rsidR="0070438F">
        <w:rPr>
          <w:szCs w:val="18"/>
        </w:rPr>
        <w:t xml:space="preserve"> April 2022 until 31</w:t>
      </w:r>
      <w:r w:rsidR="0070438F" w:rsidRPr="000547EF">
        <w:rPr>
          <w:szCs w:val="18"/>
          <w:vertAlign w:val="superscript"/>
        </w:rPr>
        <w:t>st</w:t>
      </w:r>
      <w:r w:rsidR="0070438F">
        <w:rPr>
          <w:szCs w:val="18"/>
        </w:rPr>
        <w:t xml:space="preserve"> March 2027 </w:t>
      </w:r>
      <w:r w:rsidR="00A66405">
        <w:rPr>
          <w:szCs w:val="18"/>
        </w:rPr>
        <w:t xml:space="preserve">with the option to extend for a further 5 years </w:t>
      </w:r>
      <w:r w:rsidRPr="00F711C3">
        <w:rPr>
          <w:szCs w:val="18"/>
        </w:rPr>
        <w:t xml:space="preserve">will allow the organisations to jointly establish terms and conditions on which pooled funds, joint commissioning arrangements can be exercised and formally agreed over </w:t>
      </w:r>
      <w:r w:rsidR="00A165EB">
        <w:rPr>
          <w:szCs w:val="18"/>
        </w:rPr>
        <w:t xml:space="preserve">this </w:t>
      </w:r>
      <w:r w:rsidRPr="00F711C3">
        <w:rPr>
          <w:szCs w:val="18"/>
        </w:rPr>
        <w:t xml:space="preserve">period of time.  </w:t>
      </w:r>
    </w:p>
    <w:p w14:paraId="382A8449" w14:textId="77777777" w:rsidR="00854481" w:rsidRPr="00854481" w:rsidRDefault="00854481" w:rsidP="00854481">
      <w:pPr>
        <w:pStyle w:val="ListParagraph"/>
        <w:rPr>
          <w:szCs w:val="18"/>
        </w:rPr>
      </w:pPr>
    </w:p>
    <w:p w14:paraId="2180C90C" w14:textId="24423003" w:rsidR="0098775B" w:rsidRPr="00AA19B5" w:rsidRDefault="00F711C3" w:rsidP="00291C16">
      <w:pPr>
        <w:pStyle w:val="ListParagraph"/>
        <w:numPr>
          <w:ilvl w:val="0"/>
          <w:numId w:val="2"/>
        </w:numPr>
        <w:ind w:left="567" w:hanging="567"/>
        <w:contextualSpacing/>
        <w:rPr>
          <w:szCs w:val="18"/>
        </w:rPr>
      </w:pPr>
      <w:r w:rsidRPr="00F711C3">
        <w:rPr>
          <w:szCs w:val="18"/>
        </w:rPr>
        <w:lastRenderedPageBreak/>
        <w:t xml:space="preserve">The Agreement will apply to all joint and lead commissioning services within the People’s Directorate </w:t>
      </w:r>
      <w:r w:rsidR="000E54B9">
        <w:rPr>
          <w:szCs w:val="18"/>
        </w:rPr>
        <w:t>with</w:t>
      </w:r>
      <w:r w:rsidR="000E54B9" w:rsidRPr="00F711C3">
        <w:rPr>
          <w:szCs w:val="18"/>
        </w:rPr>
        <w:t xml:space="preserve"> </w:t>
      </w:r>
      <w:r w:rsidRPr="00F711C3">
        <w:rPr>
          <w:szCs w:val="18"/>
        </w:rPr>
        <w:t xml:space="preserve">the CCG which will be formally approved and signed by the relevant level of </w:t>
      </w:r>
      <w:r w:rsidR="000E54B9">
        <w:rPr>
          <w:szCs w:val="18"/>
        </w:rPr>
        <w:t>a</w:t>
      </w:r>
      <w:r w:rsidRPr="00F711C3">
        <w:rPr>
          <w:szCs w:val="18"/>
        </w:rPr>
        <w:t xml:space="preserve">uthority.  </w:t>
      </w:r>
      <w:r w:rsidR="0098775B" w:rsidRPr="0098775B">
        <w:rPr>
          <w:szCs w:val="18"/>
        </w:rPr>
        <w:t xml:space="preserve"> </w:t>
      </w:r>
    </w:p>
    <w:p w14:paraId="33B358BD" w14:textId="77777777" w:rsidR="00B979D2" w:rsidRPr="00B979D2" w:rsidRDefault="00B979D2" w:rsidP="004B70C7">
      <w:pPr>
        <w:ind w:left="567" w:hanging="578"/>
      </w:pPr>
    </w:p>
    <w:p w14:paraId="51AF72FE" w14:textId="00624607" w:rsidR="004B70C7" w:rsidRDefault="004B70C7" w:rsidP="004B70C7">
      <w:pPr>
        <w:pStyle w:val="Heading4"/>
        <w:tabs>
          <w:tab w:val="left" w:pos="3600"/>
        </w:tabs>
        <w:rPr>
          <w:bCs/>
          <w:sz w:val="28"/>
          <w:szCs w:val="28"/>
        </w:rPr>
      </w:pPr>
      <w:r w:rsidRPr="00FE118A">
        <w:rPr>
          <w:bCs/>
          <w:sz w:val="28"/>
          <w:szCs w:val="28"/>
        </w:rPr>
        <w:t>Performance Issues</w:t>
      </w:r>
    </w:p>
    <w:p w14:paraId="55252AF2" w14:textId="77777777" w:rsidR="00611FF7" w:rsidRPr="00611FF7" w:rsidRDefault="00611FF7" w:rsidP="00611FF7"/>
    <w:p w14:paraId="6512D1F4" w14:textId="1E0D60D9" w:rsidR="00F65907" w:rsidRDefault="00275F7D" w:rsidP="00E523BF">
      <w:pPr>
        <w:pStyle w:val="ListParagraph"/>
        <w:numPr>
          <w:ilvl w:val="0"/>
          <w:numId w:val="2"/>
        </w:numPr>
        <w:ind w:left="567" w:hanging="567"/>
        <w:contextualSpacing/>
        <w:rPr>
          <w:rFonts w:cs="Arial"/>
          <w:szCs w:val="24"/>
        </w:rPr>
      </w:pPr>
      <w:r>
        <w:rPr>
          <w:rFonts w:cs="Arial"/>
          <w:szCs w:val="24"/>
        </w:rPr>
        <w:t>The q</w:t>
      </w:r>
      <w:r w:rsidR="00B920D8">
        <w:rPr>
          <w:rFonts w:cs="Arial"/>
          <w:szCs w:val="24"/>
        </w:rPr>
        <w:t>uality of the service provided by the therapists remains high</w:t>
      </w:r>
      <w:r w:rsidR="003758CE">
        <w:rPr>
          <w:rFonts w:cs="Arial"/>
          <w:szCs w:val="24"/>
        </w:rPr>
        <w:t xml:space="preserve"> and is well regarded by the service users, their families and other professionals.  </w:t>
      </w:r>
    </w:p>
    <w:p w14:paraId="02492B32" w14:textId="77777777" w:rsidR="00F65907" w:rsidRDefault="00F65907" w:rsidP="00F65907">
      <w:pPr>
        <w:pStyle w:val="ListParagraph"/>
        <w:ind w:left="567"/>
        <w:contextualSpacing/>
        <w:rPr>
          <w:rFonts w:cs="Arial"/>
          <w:szCs w:val="24"/>
        </w:rPr>
      </w:pPr>
    </w:p>
    <w:p w14:paraId="5EADF008" w14:textId="67483280" w:rsidR="00D96D9B" w:rsidRDefault="006E2C29" w:rsidP="00E523BF">
      <w:pPr>
        <w:pStyle w:val="ListParagraph"/>
        <w:numPr>
          <w:ilvl w:val="0"/>
          <w:numId w:val="2"/>
        </w:numPr>
        <w:ind w:left="567" w:hanging="567"/>
        <w:contextualSpacing/>
        <w:rPr>
          <w:rFonts w:cs="Arial"/>
          <w:szCs w:val="24"/>
        </w:rPr>
      </w:pPr>
      <w:r>
        <w:rPr>
          <w:rFonts w:cs="Arial"/>
          <w:szCs w:val="24"/>
        </w:rPr>
        <w:t xml:space="preserve">During the contract period </w:t>
      </w:r>
      <w:r w:rsidR="00C50CC9">
        <w:rPr>
          <w:rFonts w:cs="Arial"/>
          <w:szCs w:val="24"/>
        </w:rPr>
        <w:t xml:space="preserve">with LNWUHT </w:t>
      </w:r>
      <w:r>
        <w:rPr>
          <w:rFonts w:cs="Arial"/>
          <w:szCs w:val="24"/>
        </w:rPr>
        <w:t>there have been</w:t>
      </w:r>
      <w:r w:rsidR="00E564F0">
        <w:rPr>
          <w:rFonts w:cs="Arial"/>
          <w:szCs w:val="24"/>
        </w:rPr>
        <w:t xml:space="preserve"> gaps </w:t>
      </w:r>
      <w:r w:rsidR="002D78DE">
        <w:rPr>
          <w:rFonts w:cs="Arial"/>
          <w:szCs w:val="24"/>
        </w:rPr>
        <w:t xml:space="preserve">identified </w:t>
      </w:r>
      <w:r w:rsidR="002C283B">
        <w:rPr>
          <w:rFonts w:cs="Arial"/>
          <w:szCs w:val="24"/>
        </w:rPr>
        <w:t xml:space="preserve">which </w:t>
      </w:r>
      <w:r w:rsidR="00430522">
        <w:rPr>
          <w:rFonts w:cs="Arial"/>
          <w:szCs w:val="24"/>
        </w:rPr>
        <w:t xml:space="preserve">will </w:t>
      </w:r>
      <w:r w:rsidR="00AB051E">
        <w:rPr>
          <w:rFonts w:cs="Arial"/>
          <w:szCs w:val="24"/>
        </w:rPr>
        <w:t>need to be reflected</w:t>
      </w:r>
      <w:r w:rsidR="00AA0D00">
        <w:rPr>
          <w:rFonts w:cs="Arial"/>
          <w:szCs w:val="24"/>
        </w:rPr>
        <w:t xml:space="preserve"> in Harrow’s </w:t>
      </w:r>
      <w:r w:rsidR="007773B7" w:rsidRPr="00B8536C">
        <w:rPr>
          <w:rFonts w:cs="Arial"/>
          <w:szCs w:val="24"/>
        </w:rPr>
        <w:t>whole systems approach</w:t>
      </w:r>
      <w:r w:rsidR="00C50CC9">
        <w:rPr>
          <w:rFonts w:cs="Arial"/>
          <w:szCs w:val="24"/>
        </w:rPr>
        <w:t xml:space="preserve"> to</w:t>
      </w:r>
      <w:r w:rsidR="007773B7" w:rsidRPr="00B8536C">
        <w:rPr>
          <w:rFonts w:cs="Arial"/>
          <w:szCs w:val="24"/>
        </w:rPr>
        <w:t xml:space="preserve"> </w:t>
      </w:r>
      <w:r w:rsidR="00DC0191" w:rsidRPr="00DC0191">
        <w:rPr>
          <w:rFonts w:cs="Arial"/>
          <w:szCs w:val="24"/>
        </w:rPr>
        <w:t>Paediatric Therapy Services</w:t>
      </w:r>
      <w:r w:rsidR="00C50CC9">
        <w:rPr>
          <w:rFonts w:cs="Arial"/>
          <w:szCs w:val="24"/>
        </w:rPr>
        <w:t xml:space="preserve"> in order </w:t>
      </w:r>
      <w:r w:rsidR="007773B7" w:rsidRPr="00B8536C">
        <w:rPr>
          <w:rFonts w:cs="Arial"/>
          <w:szCs w:val="24"/>
        </w:rPr>
        <w:t>to ensure that the needs of children and young people are met</w:t>
      </w:r>
      <w:r w:rsidR="00354C9A">
        <w:rPr>
          <w:rFonts w:cs="Arial"/>
          <w:szCs w:val="24"/>
        </w:rPr>
        <w:t xml:space="preserve"> </w:t>
      </w:r>
      <w:r w:rsidR="004707C4">
        <w:rPr>
          <w:rFonts w:cs="Arial"/>
          <w:szCs w:val="24"/>
        </w:rPr>
        <w:t xml:space="preserve">going forward.  </w:t>
      </w:r>
      <w:r w:rsidR="00AA0D00">
        <w:rPr>
          <w:rFonts w:cs="Arial"/>
          <w:szCs w:val="24"/>
        </w:rPr>
        <w:t xml:space="preserve">  </w:t>
      </w:r>
    </w:p>
    <w:p w14:paraId="51DE3D92" w14:textId="77777777" w:rsidR="00D96D9B" w:rsidRPr="00D96D9B" w:rsidRDefault="00D96D9B" w:rsidP="00D96D9B">
      <w:pPr>
        <w:pStyle w:val="ListParagraph"/>
        <w:rPr>
          <w:rFonts w:cs="Arial"/>
          <w:szCs w:val="24"/>
        </w:rPr>
      </w:pPr>
    </w:p>
    <w:p w14:paraId="483ED67F" w14:textId="149F0E31" w:rsidR="003221CC" w:rsidRDefault="00385816" w:rsidP="00337184">
      <w:pPr>
        <w:pStyle w:val="ListParagraph"/>
        <w:numPr>
          <w:ilvl w:val="0"/>
          <w:numId w:val="2"/>
        </w:numPr>
        <w:ind w:left="567" w:hanging="567"/>
        <w:contextualSpacing/>
        <w:rPr>
          <w:rFonts w:cs="Arial"/>
          <w:szCs w:val="24"/>
        </w:rPr>
      </w:pPr>
      <w:r w:rsidRPr="00BB4D9F">
        <w:rPr>
          <w:rFonts w:cs="Arial"/>
          <w:szCs w:val="24"/>
        </w:rPr>
        <w:t>The service specification has been adapted to reflect</w:t>
      </w:r>
      <w:r w:rsidR="009C72CB" w:rsidRPr="00BB4D9F">
        <w:rPr>
          <w:rFonts w:cs="Arial"/>
          <w:szCs w:val="24"/>
        </w:rPr>
        <w:t xml:space="preserve"> </w:t>
      </w:r>
      <w:r w:rsidR="00765C32" w:rsidRPr="00BB4D9F">
        <w:rPr>
          <w:rFonts w:cs="Arial"/>
          <w:szCs w:val="24"/>
        </w:rPr>
        <w:t>these changes</w:t>
      </w:r>
      <w:r w:rsidR="000E54B9">
        <w:rPr>
          <w:rFonts w:cs="Arial"/>
          <w:szCs w:val="24"/>
        </w:rPr>
        <w:t>,</w:t>
      </w:r>
      <w:r w:rsidR="00765C32" w:rsidRPr="00BB4D9F">
        <w:rPr>
          <w:rFonts w:cs="Arial"/>
          <w:szCs w:val="24"/>
        </w:rPr>
        <w:t xml:space="preserve"> </w:t>
      </w:r>
      <w:r w:rsidRPr="00BB4D9F">
        <w:rPr>
          <w:rFonts w:cs="Arial"/>
          <w:szCs w:val="24"/>
        </w:rPr>
        <w:t xml:space="preserve">which includes </w:t>
      </w:r>
      <w:r w:rsidR="00D43D34" w:rsidRPr="00BB4D9F">
        <w:rPr>
          <w:rFonts w:cs="Arial"/>
          <w:szCs w:val="24"/>
        </w:rPr>
        <w:t>greater use of technology for digital/remote interventions</w:t>
      </w:r>
      <w:r w:rsidR="00CE3FA6" w:rsidRPr="00BB4D9F">
        <w:rPr>
          <w:rFonts w:cs="Arial"/>
          <w:szCs w:val="24"/>
        </w:rPr>
        <w:t xml:space="preserve">, </w:t>
      </w:r>
      <w:r w:rsidR="001436DE" w:rsidRPr="00BB4D9F">
        <w:rPr>
          <w:rFonts w:cs="Arial"/>
          <w:szCs w:val="24"/>
        </w:rPr>
        <w:t xml:space="preserve">effective and robust transitions </w:t>
      </w:r>
      <w:r w:rsidR="00BB4D9F" w:rsidRPr="00BB4D9F">
        <w:rPr>
          <w:rFonts w:cs="Arial"/>
          <w:szCs w:val="24"/>
        </w:rPr>
        <w:t xml:space="preserve">pathway and </w:t>
      </w:r>
      <w:r w:rsidR="001436DE" w:rsidRPr="00BB4D9F">
        <w:rPr>
          <w:rFonts w:cs="Arial"/>
          <w:szCs w:val="24"/>
        </w:rPr>
        <w:t xml:space="preserve">offer for </w:t>
      </w:r>
      <w:r w:rsidR="005665CE" w:rsidRPr="00BB4D9F">
        <w:rPr>
          <w:rFonts w:cs="Arial"/>
          <w:szCs w:val="24"/>
        </w:rPr>
        <w:t>19-25-year</w:t>
      </w:r>
      <w:r w:rsidR="00CE3FA6" w:rsidRPr="00BB4D9F">
        <w:rPr>
          <w:rFonts w:cs="Arial"/>
          <w:szCs w:val="24"/>
        </w:rPr>
        <w:t xml:space="preserve"> old</w:t>
      </w:r>
      <w:r w:rsidR="00BB4D9F" w:rsidRPr="00BB4D9F">
        <w:rPr>
          <w:rFonts w:cs="Arial"/>
          <w:szCs w:val="24"/>
        </w:rPr>
        <w:t xml:space="preserve">s.  </w:t>
      </w:r>
    </w:p>
    <w:p w14:paraId="5733799C" w14:textId="77777777" w:rsidR="004B70C7" w:rsidRPr="00766033" w:rsidRDefault="004B70C7" w:rsidP="004B70C7">
      <w:pPr>
        <w:tabs>
          <w:tab w:val="left" w:pos="7245"/>
        </w:tabs>
        <w:rPr>
          <w:rFonts w:cs="Arial"/>
          <w:i/>
          <w:szCs w:val="24"/>
        </w:rPr>
      </w:pPr>
    </w:p>
    <w:p w14:paraId="6CCD379A" w14:textId="45B4D4D7" w:rsidR="004B70C7" w:rsidRDefault="004B70C7" w:rsidP="004B70C7">
      <w:pPr>
        <w:pStyle w:val="Heading4"/>
        <w:rPr>
          <w:bCs/>
          <w:sz w:val="28"/>
          <w:szCs w:val="28"/>
        </w:rPr>
      </w:pPr>
      <w:r w:rsidRPr="00FE118A">
        <w:rPr>
          <w:bCs/>
          <w:sz w:val="28"/>
          <w:szCs w:val="28"/>
        </w:rPr>
        <w:t>Environmental Implications</w:t>
      </w:r>
    </w:p>
    <w:p w14:paraId="45562202" w14:textId="77777777" w:rsidR="004B70C7" w:rsidRPr="004B70C7" w:rsidRDefault="004B70C7" w:rsidP="004B70C7"/>
    <w:p w14:paraId="17DB0F4D" w14:textId="0C617DA9" w:rsidR="004B70C7" w:rsidRPr="00766033" w:rsidRDefault="004B70C7" w:rsidP="004B70C7">
      <w:pPr>
        <w:pStyle w:val="ListParagraph"/>
        <w:numPr>
          <w:ilvl w:val="0"/>
          <w:numId w:val="2"/>
        </w:numPr>
        <w:ind w:left="567" w:hanging="567"/>
        <w:contextualSpacing/>
        <w:rPr>
          <w:rFonts w:cs="Arial"/>
          <w:iCs/>
          <w:szCs w:val="24"/>
        </w:rPr>
      </w:pPr>
      <w:r w:rsidRPr="00766033">
        <w:rPr>
          <w:rFonts w:cs="Arial"/>
          <w:szCs w:val="24"/>
        </w:rPr>
        <w:t xml:space="preserve">There are no environmental implications </w:t>
      </w:r>
      <w:r w:rsidR="005665CE" w:rsidRPr="00766033">
        <w:rPr>
          <w:rFonts w:cs="Arial"/>
          <w:szCs w:val="24"/>
        </w:rPr>
        <w:t>arising</w:t>
      </w:r>
      <w:r w:rsidRPr="00766033">
        <w:rPr>
          <w:rFonts w:cs="Arial"/>
          <w:szCs w:val="24"/>
        </w:rPr>
        <w:t xml:space="preserve"> from this report.</w:t>
      </w:r>
    </w:p>
    <w:p w14:paraId="2C13B34E" w14:textId="77777777" w:rsidR="00656372" w:rsidRDefault="00656372" w:rsidP="004B70C7">
      <w:pPr>
        <w:pStyle w:val="Heading4"/>
        <w:rPr>
          <w:bCs/>
          <w:sz w:val="28"/>
          <w:szCs w:val="28"/>
        </w:rPr>
      </w:pPr>
    </w:p>
    <w:p w14:paraId="32EC335D" w14:textId="4BB2F953" w:rsidR="004B70C7" w:rsidRDefault="004B70C7" w:rsidP="004B70C7">
      <w:pPr>
        <w:pStyle w:val="Heading4"/>
        <w:rPr>
          <w:bCs/>
          <w:sz w:val="28"/>
          <w:szCs w:val="28"/>
        </w:rPr>
      </w:pPr>
      <w:r w:rsidRPr="00FE118A">
        <w:rPr>
          <w:bCs/>
          <w:sz w:val="28"/>
          <w:szCs w:val="28"/>
        </w:rPr>
        <w:t>Data Protection Implications</w:t>
      </w:r>
    </w:p>
    <w:p w14:paraId="68FD0EC1" w14:textId="77777777" w:rsidR="004B70C7" w:rsidRPr="004B70C7" w:rsidRDefault="004B70C7" w:rsidP="004B70C7"/>
    <w:p w14:paraId="25A8A42F" w14:textId="4D2DB416" w:rsidR="004B70C7" w:rsidRPr="004B70C7" w:rsidRDefault="004B70C7" w:rsidP="004B70C7">
      <w:pPr>
        <w:pStyle w:val="Heading3"/>
        <w:numPr>
          <w:ilvl w:val="0"/>
          <w:numId w:val="2"/>
        </w:numPr>
        <w:ind w:left="567" w:hanging="567"/>
        <w:jc w:val="left"/>
        <w:rPr>
          <w:rStyle w:val="Emphasis"/>
          <w:b w:val="0"/>
          <w:bCs w:val="0"/>
          <w:i w:val="0"/>
          <w:iCs w:val="0"/>
          <w:sz w:val="24"/>
          <w:szCs w:val="24"/>
        </w:rPr>
      </w:pPr>
      <w:r w:rsidRPr="004B70C7">
        <w:rPr>
          <w:rStyle w:val="Emphasis"/>
          <w:b w:val="0"/>
          <w:bCs w:val="0"/>
          <w:i w:val="0"/>
          <w:iCs w:val="0"/>
          <w:sz w:val="24"/>
          <w:szCs w:val="24"/>
        </w:rPr>
        <w:t>There are no data protection implications arising from this report</w:t>
      </w:r>
    </w:p>
    <w:p w14:paraId="75284416" w14:textId="2308DA3A" w:rsidR="00A81E19" w:rsidRDefault="00530EFA" w:rsidP="004B70C7">
      <w:pPr>
        <w:pStyle w:val="Heading3"/>
        <w:spacing w:before="480" w:after="240"/>
      </w:pPr>
      <w:r>
        <w:t>R</w:t>
      </w:r>
      <w:r w:rsidR="00A81E19" w:rsidRPr="001472A8">
        <w:t>isk Management Implications</w:t>
      </w:r>
    </w:p>
    <w:p w14:paraId="6C097F64" w14:textId="4E5E1087" w:rsidR="004B70C7" w:rsidRPr="004B70C7" w:rsidRDefault="004B70C7" w:rsidP="004B70C7">
      <w:pPr>
        <w:pStyle w:val="ListParagraph"/>
        <w:numPr>
          <w:ilvl w:val="0"/>
          <w:numId w:val="2"/>
        </w:numPr>
        <w:tabs>
          <w:tab w:val="left" w:pos="5610"/>
        </w:tabs>
        <w:ind w:left="567" w:right="81" w:hanging="578"/>
      </w:pPr>
      <w:r w:rsidRPr="004B70C7">
        <w:rPr>
          <w:rFonts w:cs="Arial"/>
          <w:szCs w:val="24"/>
          <w:lang w:val="en-US"/>
        </w:rPr>
        <w:t xml:space="preserve">Risks included on corporate or directorate risk register? </w:t>
      </w:r>
      <w:r w:rsidRPr="004B70C7">
        <w:rPr>
          <w:rFonts w:cs="Arial"/>
          <w:b/>
          <w:bCs/>
          <w:szCs w:val="24"/>
          <w:lang w:val="en-US"/>
        </w:rPr>
        <w:t>No</w:t>
      </w:r>
    </w:p>
    <w:p w14:paraId="09ACFBAA" w14:textId="77777777" w:rsidR="004B70C7" w:rsidRDefault="004B70C7" w:rsidP="004B70C7">
      <w:pPr>
        <w:pStyle w:val="ListParagraph"/>
        <w:tabs>
          <w:tab w:val="left" w:pos="5610"/>
        </w:tabs>
        <w:ind w:left="567" w:right="81"/>
      </w:pPr>
    </w:p>
    <w:p w14:paraId="2EEC2432" w14:textId="39662152" w:rsidR="004B70C7" w:rsidRPr="004B70C7" w:rsidRDefault="004B70C7" w:rsidP="004B70C7">
      <w:pPr>
        <w:pStyle w:val="ListParagraph"/>
        <w:numPr>
          <w:ilvl w:val="0"/>
          <w:numId w:val="2"/>
        </w:numPr>
        <w:ind w:left="567" w:right="141" w:hanging="578"/>
        <w:rPr>
          <w:rFonts w:cs="Arial"/>
          <w:szCs w:val="24"/>
          <w:lang w:val="en-US" w:eastAsia="en-GB"/>
        </w:rPr>
      </w:pPr>
      <w:r w:rsidRPr="004B70C7">
        <w:rPr>
          <w:rFonts w:cs="Arial"/>
          <w:szCs w:val="24"/>
          <w:lang w:val="en-US" w:eastAsia="en-GB"/>
        </w:rPr>
        <w:t xml:space="preserve">Separate risk register in place? </w:t>
      </w:r>
      <w:r w:rsidRPr="004B70C7">
        <w:rPr>
          <w:rFonts w:cs="Arial"/>
          <w:b/>
          <w:bCs/>
          <w:szCs w:val="24"/>
          <w:lang w:val="en-US" w:eastAsia="en-GB"/>
        </w:rPr>
        <w:t>Yes</w:t>
      </w:r>
    </w:p>
    <w:p w14:paraId="3DDD737A" w14:textId="77777777" w:rsidR="004B70C7" w:rsidRDefault="004B70C7" w:rsidP="004B70C7">
      <w:pPr>
        <w:ind w:left="567" w:right="141" w:hanging="578"/>
        <w:rPr>
          <w:rFonts w:cs="Arial"/>
          <w:szCs w:val="24"/>
          <w:lang w:val="en-US" w:eastAsia="en-GB"/>
        </w:rPr>
      </w:pPr>
    </w:p>
    <w:p w14:paraId="0BE8A873" w14:textId="3507B3A4" w:rsidR="004B70C7" w:rsidRPr="00F16E18" w:rsidRDefault="004B70C7" w:rsidP="00E56208">
      <w:pPr>
        <w:pStyle w:val="ListParagraph"/>
        <w:numPr>
          <w:ilvl w:val="0"/>
          <w:numId w:val="2"/>
        </w:numPr>
        <w:ind w:left="567" w:right="141" w:hanging="578"/>
      </w:pPr>
      <w:r w:rsidRPr="00E56208">
        <w:rPr>
          <w:rFonts w:cs="Arial"/>
          <w:szCs w:val="24"/>
          <w:lang w:val="en-US" w:eastAsia="en-GB"/>
        </w:rPr>
        <w:t xml:space="preserve">As the lead commissioner, </w:t>
      </w:r>
      <w:r w:rsidR="00E56208" w:rsidRPr="00E56208">
        <w:rPr>
          <w:rFonts w:cs="Arial"/>
          <w:szCs w:val="24"/>
          <w:lang w:val="en-US" w:eastAsia="en-GB"/>
        </w:rPr>
        <w:t xml:space="preserve">Harrow </w:t>
      </w:r>
      <w:r w:rsidRPr="00E56208">
        <w:rPr>
          <w:rFonts w:cs="Arial"/>
          <w:szCs w:val="24"/>
          <w:lang w:val="en-US" w:eastAsia="en-GB"/>
        </w:rPr>
        <w:t xml:space="preserve">CCG has a risk register in place. </w:t>
      </w:r>
      <w:r w:rsidRPr="004B70C7">
        <w:t>The</w:t>
      </w:r>
      <w:r>
        <w:t xml:space="preserve"> relevant risks contained in the register are summarised below</w:t>
      </w:r>
      <w:r w:rsidR="00CE08B8">
        <w:t xml:space="preserve">. </w:t>
      </w:r>
      <w:r w:rsidR="00CE08B8" w:rsidRPr="00E56208">
        <w:rPr>
          <w:szCs w:val="24"/>
        </w:rPr>
        <w:t>The risks to Harrow Council</w:t>
      </w:r>
      <w:r w:rsidR="00CE08B8" w:rsidRPr="00E56208">
        <w:rPr>
          <w:b/>
          <w:bCs/>
          <w:szCs w:val="24"/>
        </w:rPr>
        <w:t xml:space="preserve"> </w:t>
      </w:r>
      <w:r w:rsidR="00CE08B8">
        <w:t xml:space="preserve">that </w:t>
      </w:r>
      <w:r w:rsidR="00CE08B8" w:rsidRPr="00F16E18">
        <w:t>should be taken onto account when agreeing the recommendations in this report</w:t>
      </w:r>
      <w:r w:rsidR="00CE08B8">
        <w:t xml:space="preserve"> are included in the risk register below: </w:t>
      </w:r>
      <w:r>
        <w:t xml:space="preserve"> </w:t>
      </w:r>
    </w:p>
    <w:p w14:paraId="5C2FA411" w14:textId="77777777" w:rsidR="00EF7088" w:rsidRPr="00EF7088" w:rsidRDefault="00EF7088" w:rsidP="004B70C7">
      <w:pPr>
        <w:ind w:left="567" w:hanging="578"/>
      </w:pPr>
    </w:p>
    <w:tbl>
      <w:tblPr>
        <w:tblStyle w:val="TableGrid"/>
        <w:tblW w:w="8299" w:type="dxa"/>
        <w:tblInd w:w="562" w:type="dxa"/>
        <w:tblLook w:val="04A0" w:firstRow="1" w:lastRow="0" w:firstColumn="1" w:lastColumn="0" w:noHBand="0" w:noVBand="1"/>
      </w:tblPr>
      <w:tblGrid>
        <w:gridCol w:w="2376"/>
        <w:gridCol w:w="2687"/>
        <w:gridCol w:w="1416"/>
        <w:gridCol w:w="1820"/>
      </w:tblGrid>
      <w:tr w:rsidR="00CE08B8" w14:paraId="072878C0" w14:textId="70597C82" w:rsidTr="00B662E8">
        <w:trPr>
          <w:trHeight w:val="725"/>
        </w:trPr>
        <w:tc>
          <w:tcPr>
            <w:tcW w:w="2376" w:type="dxa"/>
            <w:tcBorders>
              <w:top w:val="single" w:sz="4" w:space="0" w:color="auto"/>
              <w:left w:val="single" w:sz="4" w:space="0" w:color="auto"/>
              <w:bottom w:val="single" w:sz="4" w:space="0" w:color="auto"/>
              <w:right w:val="single" w:sz="4" w:space="0" w:color="auto"/>
            </w:tcBorders>
          </w:tcPr>
          <w:p w14:paraId="645E2322" w14:textId="00D9E8A8" w:rsidR="00CE08B8" w:rsidRPr="004B70C7" w:rsidRDefault="00CE08B8" w:rsidP="00B662E8">
            <w:pPr>
              <w:spacing w:before="240" w:after="240"/>
              <w:ind w:left="-11"/>
              <w:jc w:val="center"/>
              <w:rPr>
                <w:b/>
                <w:bCs/>
              </w:rPr>
            </w:pPr>
            <w:r w:rsidRPr="004B70C7">
              <w:rPr>
                <w:b/>
                <w:bCs/>
              </w:rPr>
              <w:t>Risk</w:t>
            </w:r>
            <w:r w:rsidRPr="004B70C7">
              <w:rPr>
                <w:rFonts w:cs="Arial"/>
                <w:b/>
                <w:bCs/>
                <w:szCs w:val="24"/>
                <w:lang w:val="en-US" w:eastAsia="en-GB"/>
              </w:rPr>
              <w:t xml:space="preserve"> Description</w:t>
            </w:r>
          </w:p>
        </w:tc>
        <w:tc>
          <w:tcPr>
            <w:tcW w:w="2687" w:type="dxa"/>
            <w:tcBorders>
              <w:top w:val="single" w:sz="4" w:space="0" w:color="auto"/>
              <w:left w:val="single" w:sz="4" w:space="0" w:color="auto"/>
              <w:bottom w:val="single" w:sz="4" w:space="0" w:color="auto"/>
              <w:right w:val="single" w:sz="4" w:space="0" w:color="auto"/>
            </w:tcBorders>
          </w:tcPr>
          <w:p w14:paraId="35048E16" w14:textId="1C11ABE8" w:rsidR="00CE08B8" w:rsidRPr="004B70C7" w:rsidRDefault="00B662E8" w:rsidP="00B662E8">
            <w:pPr>
              <w:spacing w:before="240" w:after="240"/>
              <w:ind w:left="-11"/>
              <w:jc w:val="center"/>
              <w:rPr>
                <w:b/>
                <w:bCs/>
              </w:rPr>
            </w:pPr>
            <w:r>
              <w:rPr>
                <w:b/>
                <w:bCs/>
              </w:rPr>
              <w:t xml:space="preserve">Harrow </w:t>
            </w:r>
            <w:r w:rsidR="001D13C8">
              <w:rPr>
                <w:b/>
                <w:bCs/>
              </w:rPr>
              <w:t xml:space="preserve">CCG </w:t>
            </w:r>
            <w:r w:rsidR="00CE08B8" w:rsidRPr="004B70C7">
              <w:rPr>
                <w:b/>
                <w:bCs/>
              </w:rPr>
              <w:t>Mitigation</w:t>
            </w:r>
          </w:p>
        </w:tc>
        <w:tc>
          <w:tcPr>
            <w:tcW w:w="1416" w:type="dxa"/>
            <w:tcBorders>
              <w:top w:val="single" w:sz="4" w:space="0" w:color="auto"/>
              <w:left w:val="single" w:sz="4" w:space="0" w:color="auto"/>
              <w:bottom w:val="single" w:sz="4" w:space="0" w:color="auto"/>
              <w:right w:val="single" w:sz="4" w:space="0" w:color="auto"/>
            </w:tcBorders>
            <w:vAlign w:val="center"/>
          </w:tcPr>
          <w:p w14:paraId="203867E4" w14:textId="6B9F9E44" w:rsidR="00CE08B8" w:rsidRPr="004B70C7" w:rsidRDefault="00CE08B8" w:rsidP="00B662E8">
            <w:pPr>
              <w:spacing w:before="240" w:after="240"/>
              <w:ind w:left="-11"/>
              <w:jc w:val="center"/>
              <w:rPr>
                <w:b/>
                <w:bCs/>
              </w:rPr>
            </w:pPr>
            <w:r w:rsidRPr="004B70C7">
              <w:rPr>
                <w:rFonts w:cs="Arial"/>
                <w:b/>
                <w:bCs/>
                <w:szCs w:val="24"/>
                <w:lang w:val="en-US" w:eastAsia="en-GB"/>
              </w:rPr>
              <w:t>RAG Status</w:t>
            </w:r>
            <w:r>
              <w:rPr>
                <w:rFonts w:cs="Arial"/>
                <w:b/>
                <w:bCs/>
                <w:szCs w:val="24"/>
                <w:lang w:val="en-US" w:eastAsia="en-GB"/>
              </w:rPr>
              <w:t xml:space="preserve"> for Risk to Harrow Council</w:t>
            </w:r>
          </w:p>
        </w:tc>
        <w:tc>
          <w:tcPr>
            <w:tcW w:w="1820" w:type="dxa"/>
            <w:tcBorders>
              <w:top w:val="single" w:sz="4" w:space="0" w:color="auto"/>
              <w:left w:val="single" w:sz="4" w:space="0" w:color="auto"/>
              <w:bottom w:val="single" w:sz="4" w:space="0" w:color="auto"/>
              <w:right w:val="single" w:sz="4" w:space="0" w:color="auto"/>
            </w:tcBorders>
          </w:tcPr>
          <w:p w14:paraId="340A796B" w14:textId="2666624C" w:rsidR="00CE08B8" w:rsidRPr="004B70C7" w:rsidRDefault="00CE08B8" w:rsidP="00B662E8">
            <w:pPr>
              <w:spacing w:before="240" w:after="240"/>
              <w:ind w:left="-11"/>
              <w:jc w:val="center"/>
              <w:rPr>
                <w:rFonts w:cs="Arial"/>
                <w:b/>
                <w:bCs/>
                <w:szCs w:val="24"/>
                <w:lang w:val="en-US" w:eastAsia="en-GB"/>
              </w:rPr>
            </w:pPr>
            <w:r>
              <w:rPr>
                <w:rFonts w:cs="Arial"/>
                <w:b/>
                <w:bCs/>
                <w:szCs w:val="24"/>
                <w:lang w:val="en-US" w:eastAsia="en-GB"/>
              </w:rPr>
              <w:t>Harrow Council Mitigation</w:t>
            </w:r>
          </w:p>
        </w:tc>
      </w:tr>
      <w:tr w:rsidR="00CE08B8" w14:paraId="19747CB2" w14:textId="10E0D0D2" w:rsidTr="005665CE">
        <w:trPr>
          <w:trHeight w:val="363"/>
        </w:trPr>
        <w:tc>
          <w:tcPr>
            <w:tcW w:w="2376" w:type="dxa"/>
            <w:tcBorders>
              <w:top w:val="single" w:sz="4" w:space="0" w:color="auto"/>
              <w:left w:val="single" w:sz="4" w:space="0" w:color="auto"/>
              <w:bottom w:val="single" w:sz="4" w:space="0" w:color="auto"/>
              <w:right w:val="single" w:sz="4" w:space="0" w:color="auto"/>
            </w:tcBorders>
            <w:hideMark/>
          </w:tcPr>
          <w:p w14:paraId="43DF33A0" w14:textId="77777777" w:rsidR="00CE08B8" w:rsidRPr="00183BA4" w:rsidRDefault="00CE08B8" w:rsidP="00B662E8">
            <w:pPr>
              <w:ind w:left="-11"/>
            </w:pPr>
            <w:r w:rsidRPr="00183BA4">
              <w:t>Financial – existing provider budget may not be sufficient to deliver service outcomes</w:t>
            </w:r>
          </w:p>
          <w:p w14:paraId="36AD0EFB" w14:textId="6D695606" w:rsidR="00CE08B8" w:rsidRDefault="00CE08B8" w:rsidP="00B662E8">
            <w:pPr>
              <w:ind w:left="-11"/>
            </w:pPr>
          </w:p>
        </w:tc>
        <w:tc>
          <w:tcPr>
            <w:tcW w:w="2687" w:type="dxa"/>
            <w:tcBorders>
              <w:top w:val="single" w:sz="4" w:space="0" w:color="auto"/>
              <w:left w:val="single" w:sz="4" w:space="0" w:color="auto"/>
              <w:bottom w:val="single" w:sz="4" w:space="0" w:color="auto"/>
              <w:right w:val="single" w:sz="4" w:space="0" w:color="auto"/>
            </w:tcBorders>
          </w:tcPr>
          <w:p w14:paraId="41A771F2" w14:textId="7DAA2F4B" w:rsidR="00CE08B8" w:rsidRDefault="00CE08B8" w:rsidP="00B662E8">
            <w:pPr>
              <w:ind w:left="-11"/>
            </w:pPr>
            <w:r>
              <w:t>C</w:t>
            </w:r>
            <w:r w:rsidRPr="003E15E7">
              <w:t>annot mitigate the total budget</w:t>
            </w:r>
            <w:r>
              <w:t xml:space="preserve">, </w:t>
            </w:r>
            <w:r w:rsidRPr="003E15E7">
              <w:t>finance colleagues</w:t>
            </w:r>
            <w:r>
              <w:t xml:space="preserve"> will be involved</w:t>
            </w:r>
            <w:r w:rsidRPr="003E15E7">
              <w:t xml:space="preserve"> in the due diligence process and </w:t>
            </w:r>
            <w:r w:rsidRPr="003E15E7">
              <w:lastRenderedPageBreak/>
              <w:t>seek feedback from Trusts. Collaborative programme to identify areas for greater efficiency to be put in place</w:t>
            </w:r>
          </w:p>
        </w:tc>
        <w:tc>
          <w:tcPr>
            <w:tcW w:w="1416" w:type="dxa"/>
            <w:tcBorders>
              <w:top w:val="single" w:sz="4" w:space="0" w:color="auto"/>
              <w:left w:val="single" w:sz="4" w:space="0" w:color="auto"/>
              <w:bottom w:val="single" w:sz="4" w:space="0" w:color="auto"/>
              <w:right w:val="single" w:sz="4" w:space="0" w:color="auto"/>
            </w:tcBorders>
            <w:shd w:val="clear" w:color="auto" w:fill="9BBB59" w:themeFill="accent3"/>
          </w:tcPr>
          <w:p w14:paraId="3C2D0711" w14:textId="3A8A60BC" w:rsidR="00CE08B8" w:rsidRDefault="00CE08B8" w:rsidP="00B662E8">
            <w:pPr>
              <w:ind w:left="-11"/>
              <w:jc w:val="center"/>
            </w:pPr>
            <w:r w:rsidRPr="00CE08B8">
              <w:rPr>
                <w:rFonts w:cs="Arial"/>
                <w:szCs w:val="24"/>
                <w:lang w:val="en-US" w:eastAsia="en-GB"/>
              </w:rPr>
              <w:lastRenderedPageBreak/>
              <w:t>Green</w:t>
            </w:r>
          </w:p>
        </w:tc>
        <w:tc>
          <w:tcPr>
            <w:tcW w:w="1820" w:type="dxa"/>
            <w:tcBorders>
              <w:top w:val="single" w:sz="4" w:space="0" w:color="auto"/>
              <w:left w:val="single" w:sz="4" w:space="0" w:color="auto"/>
              <w:bottom w:val="single" w:sz="4" w:space="0" w:color="auto"/>
              <w:right w:val="single" w:sz="4" w:space="0" w:color="auto"/>
            </w:tcBorders>
          </w:tcPr>
          <w:p w14:paraId="1BB7BEB1" w14:textId="5E1E5EA8" w:rsidR="00CE08B8" w:rsidRPr="004B70C7" w:rsidRDefault="00CE08B8" w:rsidP="00B662E8">
            <w:pPr>
              <w:ind w:left="-11" w:right="141"/>
              <w:rPr>
                <w:rFonts w:cs="Arial"/>
                <w:szCs w:val="24"/>
                <w:highlight w:val="yellow"/>
                <w:lang w:val="en-US" w:eastAsia="en-GB"/>
              </w:rPr>
            </w:pPr>
            <w:r w:rsidRPr="00CE08B8">
              <w:rPr>
                <w:rFonts w:cs="Arial"/>
                <w:szCs w:val="24"/>
                <w:lang w:val="en-US" w:eastAsia="en-GB"/>
              </w:rPr>
              <w:t xml:space="preserve">The council’s financial contribution </w:t>
            </w:r>
            <w:r>
              <w:rPr>
                <w:rFonts w:cs="Arial"/>
                <w:szCs w:val="24"/>
                <w:lang w:val="en-US" w:eastAsia="en-GB"/>
              </w:rPr>
              <w:t>remains fixed</w:t>
            </w:r>
          </w:p>
        </w:tc>
      </w:tr>
      <w:tr w:rsidR="00CE08B8" w14:paraId="5F6C5246" w14:textId="731B3AD4" w:rsidTr="005665CE">
        <w:trPr>
          <w:trHeight w:val="188"/>
        </w:trPr>
        <w:tc>
          <w:tcPr>
            <w:tcW w:w="2376" w:type="dxa"/>
            <w:tcBorders>
              <w:top w:val="single" w:sz="4" w:space="0" w:color="auto"/>
              <w:left w:val="single" w:sz="4" w:space="0" w:color="auto"/>
              <w:bottom w:val="single" w:sz="4" w:space="0" w:color="auto"/>
              <w:right w:val="single" w:sz="4" w:space="0" w:color="auto"/>
            </w:tcBorders>
            <w:hideMark/>
          </w:tcPr>
          <w:p w14:paraId="42660DC2" w14:textId="77777777" w:rsidR="00CE08B8" w:rsidRPr="003E15E7" w:rsidRDefault="00CE08B8" w:rsidP="00B662E8">
            <w:pPr>
              <w:ind w:left="-11"/>
            </w:pPr>
            <w:r w:rsidRPr="003E15E7">
              <w:t xml:space="preserve">Challenge to process by NWL providers or external providers. Risk around legal challenge of not putting out to competition. </w:t>
            </w:r>
          </w:p>
          <w:p w14:paraId="24E07BA7" w14:textId="2FFF3A38" w:rsidR="00CE08B8" w:rsidRDefault="00CE08B8" w:rsidP="00B662E8">
            <w:pPr>
              <w:ind w:left="-11"/>
            </w:pPr>
          </w:p>
        </w:tc>
        <w:tc>
          <w:tcPr>
            <w:tcW w:w="2687" w:type="dxa"/>
            <w:tcBorders>
              <w:top w:val="single" w:sz="4" w:space="0" w:color="auto"/>
              <w:left w:val="single" w:sz="4" w:space="0" w:color="auto"/>
              <w:bottom w:val="single" w:sz="4" w:space="0" w:color="auto"/>
              <w:right w:val="single" w:sz="4" w:space="0" w:color="auto"/>
            </w:tcBorders>
          </w:tcPr>
          <w:p w14:paraId="04E54B6F" w14:textId="77777777" w:rsidR="00CE08B8" w:rsidRPr="0002238F" w:rsidRDefault="00CE08B8" w:rsidP="00B662E8">
            <w:pPr>
              <w:ind w:left="-11"/>
            </w:pPr>
            <w:r w:rsidRPr="0002238F">
              <w:t xml:space="preserve">Design fair and transparent process. Ensure CAN notice is published before entering into contract. </w:t>
            </w:r>
          </w:p>
          <w:p w14:paraId="3D1D835A" w14:textId="77777777" w:rsidR="00CE08B8" w:rsidRPr="0002238F" w:rsidRDefault="00CE08B8" w:rsidP="00B662E8">
            <w:pPr>
              <w:ind w:left="-11"/>
            </w:pPr>
          </w:p>
        </w:tc>
        <w:tc>
          <w:tcPr>
            <w:tcW w:w="1416" w:type="dxa"/>
            <w:tcBorders>
              <w:top w:val="single" w:sz="4" w:space="0" w:color="auto"/>
              <w:left w:val="single" w:sz="4" w:space="0" w:color="auto"/>
              <w:bottom w:val="single" w:sz="4" w:space="0" w:color="auto"/>
              <w:right w:val="single" w:sz="4" w:space="0" w:color="auto"/>
            </w:tcBorders>
            <w:shd w:val="clear" w:color="auto" w:fill="9BBB59" w:themeFill="accent3"/>
          </w:tcPr>
          <w:p w14:paraId="6C2CFC34" w14:textId="09319C0B" w:rsidR="00CE08B8" w:rsidRPr="0002238F" w:rsidRDefault="00CE08B8" w:rsidP="00B662E8">
            <w:pPr>
              <w:ind w:left="-11"/>
              <w:jc w:val="center"/>
            </w:pPr>
            <w:r>
              <w:t>Green</w:t>
            </w:r>
          </w:p>
        </w:tc>
        <w:tc>
          <w:tcPr>
            <w:tcW w:w="1820" w:type="dxa"/>
            <w:tcBorders>
              <w:top w:val="single" w:sz="4" w:space="0" w:color="auto"/>
              <w:left w:val="single" w:sz="4" w:space="0" w:color="auto"/>
              <w:bottom w:val="single" w:sz="4" w:space="0" w:color="auto"/>
              <w:right w:val="single" w:sz="4" w:space="0" w:color="auto"/>
            </w:tcBorders>
          </w:tcPr>
          <w:p w14:paraId="76ACCF7F" w14:textId="50D7AD6F" w:rsidR="00CE08B8" w:rsidRPr="0002238F" w:rsidRDefault="00B662E8" w:rsidP="00B662E8">
            <w:pPr>
              <w:ind w:left="-11"/>
            </w:pPr>
            <w:r>
              <w:t xml:space="preserve">Harrow </w:t>
            </w:r>
            <w:r w:rsidR="00CE08B8">
              <w:t>CCG lead commissioner</w:t>
            </w:r>
            <w:r w:rsidR="001D13C8">
              <w:t xml:space="preserve"> will manage any challenges</w:t>
            </w:r>
          </w:p>
        </w:tc>
      </w:tr>
      <w:tr w:rsidR="00CE08B8" w14:paraId="2B84CF35" w14:textId="5EA13E56" w:rsidTr="005665CE">
        <w:trPr>
          <w:trHeight w:val="363"/>
        </w:trPr>
        <w:tc>
          <w:tcPr>
            <w:tcW w:w="2376" w:type="dxa"/>
            <w:tcBorders>
              <w:top w:val="single" w:sz="4" w:space="0" w:color="auto"/>
              <w:left w:val="single" w:sz="4" w:space="0" w:color="auto"/>
              <w:bottom w:val="single" w:sz="4" w:space="0" w:color="auto"/>
              <w:right w:val="single" w:sz="4" w:space="0" w:color="auto"/>
            </w:tcBorders>
          </w:tcPr>
          <w:p w14:paraId="20945F16" w14:textId="77777777" w:rsidR="00CE08B8" w:rsidRPr="0002238F" w:rsidRDefault="00CE08B8" w:rsidP="00B662E8">
            <w:pPr>
              <w:ind w:left="-11"/>
            </w:pPr>
            <w:r w:rsidRPr="0002238F">
              <w:t>Timescales for completing the transfer are tight and may slip</w:t>
            </w:r>
          </w:p>
          <w:p w14:paraId="53D05DA9" w14:textId="77777777" w:rsidR="00CE08B8" w:rsidRDefault="00CE08B8" w:rsidP="00B662E8">
            <w:pPr>
              <w:ind w:left="-11"/>
            </w:pPr>
          </w:p>
        </w:tc>
        <w:tc>
          <w:tcPr>
            <w:tcW w:w="2687" w:type="dxa"/>
            <w:tcBorders>
              <w:top w:val="single" w:sz="4" w:space="0" w:color="auto"/>
              <w:left w:val="single" w:sz="4" w:space="0" w:color="auto"/>
              <w:bottom w:val="single" w:sz="4" w:space="0" w:color="auto"/>
              <w:right w:val="single" w:sz="4" w:space="0" w:color="auto"/>
            </w:tcBorders>
          </w:tcPr>
          <w:p w14:paraId="6B8B9D31" w14:textId="77777777" w:rsidR="00CE08B8" w:rsidRPr="008348EF" w:rsidRDefault="00CE08B8" w:rsidP="00B662E8">
            <w:pPr>
              <w:ind w:left="-11"/>
            </w:pPr>
            <w:r w:rsidRPr="008348EF">
              <w:t>Options under consideration for flexibility on timescale for transfer</w:t>
            </w:r>
          </w:p>
          <w:p w14:paraId="3A2C6669" w14:textId="77777777" w:rsidR="00CE08B8" w:rsidRPr="008348EF" w:rsidRDefault="00CE08B8" w:rsidP="00B662E8">
            <w:pPr>
              <w:ind w:left="-11"/>
            </w:pPr>
          </w:p>
        </w:tc>
        <w:tc>
          <w:tcPr>
            <w:tcW w:w="1416" w:type="dxa"/>
            <w:tcBorders>
              <w:top w:val="single" w:sz="4" w:space="0" w:color="auto"/>
              <w:left w:val="single" w:sz="4" w:space="0" w:color="auto"/>
              <w:bottom w:val="single" w:sz="4" w:space="0" w:color="auto"/>
              <w:right w:val="single" w:sz="4" w:space="0" w:color="auto"/>
            </w:tcBorders>
            <w:shd w:val="clear" w:color="auto" w:fill="9BBB59" w:themeFill="accent3"/>
          </w:tcPr>
          <w:p w14:paraId="226FEE98" w14:textId="2A613EFF" w:rsidR="00CE08B8" w:rsidRPr="008348EF" w:rsidRDefault="001D13C8" w:rsidP="00B662E8">
            <w:pPr>
              <w:ind w:left="-11"/>
              <w:jc w:val="center"/>
            </w:pPr>
            <w:r>
              <w:t>Green</w:t>
            </w:r>
          </w:p>
        </w:tc>
        <w:tc>
          <w:tcPr>
            <w:tcW w:w="1820" w:type="dxa"/>
            <w:tcBorders>
              <w:top w:val="single" w:sz="4" w:space="0" w:color="auto"/>
              <w:left w:val="single" w:sz="4" w:space="0" w:color="auto"/>
              <w:bottom w:val="single" w:sz="4" w:space="0" w:color="auto"/>
              <w:right w:val="single" w:sz="4" w:space="0" w:color="auto"/>
            </w:tcBorders>
          </w:tcPr>
          <w:p w14:paraId="6AE1452D" w14:textId="61D18F70" w:rsidR="00CE08B8" w:rsidRPr="008348EF" w:rsidRDefault="001D13C8" w:rsidP="00B662E8">
            <w:pPr>
              <w:ind w:left="-11"/>
            </w:pPr>
            <w:r>
              <w:t>Harrow Council will continue to receive services from the current provider, no gap in provision is envisaged</w:t>
            </w:r>
          </w:p>
        </w:tc>
      </w:tr>
      <w:tr w:rsidR="00CE08B8" w14:paraId="4209775D" w14:textId="5F27CAAE" w:rsidTr="005665CE">
        <w:trPr>
          <w:trHeight w:val="363"/>
        </w:trPr>
        <w:tc>
          <w:tcPr>
            <w:tcW w:w="2376" w:type="dxa"/>
            <w:tcBorders>
              <w:top w:val="single" w:sz="4" w:space="0" w:color="auto"/>
              <w:left w:val="single" w:sz="4" w:space="0" w:color="auto"/>
              <w:bottom w:val="single" w:sz="4" w:space="0" w:color="auto"/>
              <w:right w:val="single" w:sz="4" w:space="0" w:color="auto"/>
            </w:tcBorders>
          </w:tcPr>
          <w:p w14:paraId="0865B73D" w14:textId="77777777" w:rsidR="00CE08B8" w:rsidRPr="00DD2040" w:rsidRDefault="00CE08B8" w:rsidP="00B662E8">
            <w:pPr>
              <w:ind w:left="-11"/>
            </w:pPr>
            <w:r w:rsidRPr="00DD2040">
              <w:t>Business transfer processes is dependent on external organisations (will involve NHS Property Services) and TUPE consultation period. This also may put pressure on providers (including management capacity) during a time when they need to be focussed on managing COVID</w:t>
            </w:r>
          </w:p>
          <w:p w14:paraId="33B4C475" w14:textId="77777777" w:rsidR="00CE08B8" w:rsidRDefault="00CE08B8" w:rsidP="00B662E8">
            <w:pPr>
              <w:ind w:left="-11"/>
            </w:pPr>
          </w:p>
        </w:tc>
        <w:tc>
          <w:tcPr>
            <w:tcW w:w="2687" w:type="dxa"/>
            <w:tcBorders>
              <w:top w:val="single" w:sz="4" w:space="0" w:color="auto"/>
              <w:left w:val="single" w:sz="4" w:space="0" w:color="auto"/>
              <w:bottom w:val="single" w:sz="4" w:space="0" w:color="auto"/>
              <w:right w:val="single" w:sz="4" w:space="0" w:color="auto"/>
            </w:tcBorders>
          </w:tcPr>
          <w:p w14:paraId="661A3FA8" w14:textId="77777777" w:rsidR="00CE08B8" w:rsidRPr="00DD2040" w:rsidRDefault="00CE08B8" w:rsidP="00B662E8">
            <w:pPr>
              <w:ind w:left="-11"/>
            </w:pPr>
            <w:r>
              <w:t>O</w:t>
            </w:r>
            <w:r w:rsidRPr="00DD2040">
              <w:t>ptions</w:t>
            </w:r>
            <w:r>
              <w:t xml:space="preserve"> set out by NWL CCG</w:t>
            </w:r>
            <w:r w:rsidRPr="00DD2040">
              <w:t xml:space="preserve"> where the management of the service can </w:t>
            </w:r>
            <w:r>
              <w:t xml:space="preserve">commence earlier </w:t>
            </w:r>
            <w:r w:rsidRPr="00DD2040">
              <w:t xml:space="preserve">with formal business transfer taking place at a later stage. </w:t>
            </w:r>
          </w:p>
          <w:p w14:paraId="3F757C63" w14:textId="77777777" w:rsidR="00CE08B8" w:rsidRDefault="00CE08B8" w:rsidP="00B662E8">
            <w:pPr>
              <w:ind w:left="-11"/>
            </w:pPr>
          </w:p>
        </w:tc>
        <w:tc>
          <w:tcPr>
            <w:tcW w:w="1416" w:type="dxa"/>
            <w:tcBorders>
              <w:top w:val="single" w:sz="4" w:space="0" w:color="auto"/>
              <w:left w:val="single" w:sz="4" w:space="0" w:color="auto"/>
              <w:bottom w:val="single" w:sz="4" w:space="0" w:color="auto"/>
              <w:right w:val="single" w:sz="4" w:space="0" w:color="auto"/>
            </w:tcBorders>
            <w:shd w:val="clear" w:color="auto" w:fill="F79646" w:themeFill="accent6"/>
          </w:tcPr>
          <w:p w14:paraId="7D1467EC" w14:textId="36D64DF4" w:rsidR="00CE08B8" w:rsidRDefault="001D13C8" w:rsidP="00B662E8">
            <w:pPr>
              <w:ind w:left="-11"/>
              <w:jc w:val="center"/>
            </w:pPr>
            <w:r>
              <w:t>Amber</w:t>
            </w:r>
          </w:p>
        </w:tc>
        <w:tc>
          <w:tcPr>
            <w:tcW w:w="1820" w:type="dxa"/>
            <w:tcBorders>
              <w:top w:val="single" w:sz="4" w:space="0" w:color="auto"/>
              <w:left w:val="single" w:sz="4" w:space="0" w:color="auto"/>
              <w:bottom w:val="single" w:sz="4" w:space="0" w:color="auto"/>
              <w:right w:val="single" w:sz="4" w:space="0" w:color="auto"/>
            </w:tcBorders>
          </w:tcPr>
          <w:p w14:paraId="14974E74" w14:textId="1A38AF72" w:rsidR="00CE08B8" w:rsidRDefault="001D13C8" w:rsidP="000E54B9">
            <w:pPr>
              <w:ind w:left="-11"/>
            </w:pPr>
            <w:r>
              <w:t xml:space="preserve">The </w:t>
            </w:r>
            <w:r w:rsidR="000E54B9">
              <w:t xml:space="preserve">Council </w:t>
            </w:r>
            <w:r>
              <w:t xml:space="preserve">will adjust to new provider in line with Harrow CCG and ensure least disruption to service users  </w:t>
            </w:r>
          </w:p>
        </w:tc>
      </w:tr>
      <w:tr w:rsidR="00CE08B8" w14:paraId="2871BA37" w14:textId="0BA9786F" w:rsidTr="005665CE">
        <w:trPr>
          <w:trHeight w:val="363"/>
        </w:trPr>
        <w:tc>
          <w:tcPr>
            <w:tcW w:w="2376" w:type="dxa"/>
            <w:tcBorders>
              <w:top w:val="single" w:sz="4" w:space="0" w:color="auto"/>
              <w:left w:val="single" w:sz="4" w:space="0" w:color="auto"/>
              <w:bottom w:val="single" w:sz="4" w:space="0" w:color="auto"/>
              <w:right w:val="single" w:sz="4" w:space="0" w:color="auto"/>
            </w:tcBorders>
          </w:tcPr>
          <w:p w14:paraId="4041F2E4" w14:textId="3E3F1E66" w:rsidR="00CE08B8" w:rsidRPr="00DD2040" w:rsidRDefault="00CE08B8" w:rsidP="00EF56D6">
            <w:pPr>
              <w:ind w:left="-11"/>
            </w:pPr>
            <w:r w:rsidRPr="004C2526">
              <w:t>Workforce –</w:t>
            </w:r>
            <w:r>
              <w:t xml:space="preserve"> </w:t>
            </w:r>
            <w:r w:rsidRPr="004C2526">
              <w:t xml:space="preserve">key staff </w:t>
            </w:r>
            <w:r>
              <w:t xml:space="preserve">may </w:t>
            </w:r>
            <w:r w:rsidRPr="004C2526">
              <w:t>leave due to uncertainty about their roles (more of a concern for senior staff/ management roles). Risk of loss of key staff.</w:t>
            </w:r>
          </w:p>
        </w:tc>
        <w:tc>
          <w:tcPr>
            <w:tcW w:w="2687" w:type="dxa"/>
            <w:tcBorders>
              <w:top w:val="single" w:sz="4" w:space="0" w:color="auto"/>
              <w:left w:val="single" w:sz="4" w:space="0" w:color="auto"/>
              <w:bottom w:val="single" w:sz="4" w:space="0" w:color="auto"/>
              <w:right w:val="single" w:sz="4" w:space="0" w:color="auto"/>
            </w:tcBorders>
          </w:tcPr>
          <w:p w14:paraId="18090EBD" w14:textId="77777777" w:rsidR="00CE08B8" w:rsidRPr="004C2526" w:rsidRDefault="00CE08B8" w:rsidP="00B662E8">
            <w:pPr>
              <w:ind w:left="-11"/>
            </w:pPr>
            <w:r w:rsidRPr="004C2526">
              <w:t xml:space="preserve">Ensure communications programme involving LNWHUT and new provider that reassures staff around impact on their roles. </w:t>
            </w:r>
          </w:p>
          <w:p w14:paraId="20A3262E" w14:textId="77777777" w:rsidR="00CE08B8" w:rsidRPr="004C2526" w:rsidRDefault="00CE08B8" w:rsidP="00B662E8">
            <w:pPr>
              <w:ind w:left="-11"/>
            </w:pPr>
          </w:p>
        </w:tc>
        <w:tc>
          <w:tcPr>
            <w:tcW w:w="1416" w:type="dxa"/>
            <w:tcBorders>
              <w:top w:val="single" w:sz="4" w:space="0" w:color="auto"/>
              <w:left w:val="single" w:sz="4" w:space="0" w:color="auto"/>
              <w:bottom w:val="single" w:sz="4" w:space="0" w:color="auto"/>
              <w:right w:val="single" w:sz="4" w:space="0" w:color="auto"/>
            </w:tcBorders>
            <w:shd w:val="clear" w:color="auto" w:fill="F79646" w:themeFill="accent6"/>
          </w:tcPr>
          <w:p w14:paraId="481C0B73" w14:textId="37243E86" w:rsidR="00CE08B8" w:rsidRPr="004C2526" w:rsidRDefault="00CE08B8" w:rsidP="00B662E8">
            <w:pPr>
              <w:ind w:left="-11"/>
              <w:jc w:val="center"/>
            </w:pPr>
            <w:r>
              <w:t>Amber</w:t>
            </w:r>
          </w:p>
        </w:tc>
        <w:tc>
          <w:tcPr>
            <w:tcW w:w="1820" w:type="dxa"/>
            <w:tcBorders>
              <w:top w:val="single" w:sz="4" w:space="0" w:color="auto"/>
              <w:left w:val="single" w:sz="4" w:space="0" w:color="auto"/>
              <w:bottom w:val="single" w:sz="4" w:space="0" w:color="auto"/>
              <w:right w:val="single" w:sz="4" w:space="0" w:color="auto"/>
            </w:tcBorders>
          </w:tcPr>
          <w:p w14:paraId="7F7DE7F4" w14:textId="3425109E" w:rsidR="00CE08B8" w:rsidRPr="004C2526" w:rsidRDefault="00CE08B8" w:rsidP="00B662E8">
            <w:pPr>
              <w:ind w:left="-11"/>
            </w:pPr>
            <w:r>
              <w:t xml:space="preserve">Brent CCG preparing communication for both Brent and Harrow.  Staff will </w:t>
            </w:r>
            <w:r w:rsidR="00B662E8">
              <w:t xml:space="preserve">TUPE </w:t>
            </w:r>
            <w:r>
              <w:t>over to new provider.</w:t>
            </w:r>
          </w:p>
        </w:tc>
      </w:tr>
    </w:tbl>
    <w:p w14:paraId="35299F54" w14:textId="77777777" w:rsidR="004B70C7" w:rsidRDefault="004B70C7" w:rsidP="004B70C7">
      <w:pPr>
        <w:ind w:left="567" w:right="141" w:hanging="578"/>
        <w:rPr>
          <w:szCs w:val="24"/>
        </w:rPr>
      </w:pPr>
    </w:p>
    <w:p w14:paraId="0249BBDB" w14:textId="3417683A" w:rsidR="002A3FEF" w:rsidRDefault="002A3FEF" w:rsidP="004B70C7">
      <w:pPr>
        <w:pStyle w:val="Heading3"/>
        <w:spacing w:before="480" w:after="240"/>
        <w:ind w:left="-11" w:firstLine="0"/>
      </w:pPr>
      <w:r>
        <w:lastRenderedPageBreak/>
        <w:t>Procurement Implications</w:t>
      </w:r>
    </w:p>
    <w:p w14:paraId="460BE73D" w14:textId="071C7538" w:rsidR="00AB1C6E" w:rsidRDefault="00AB1C6E" w:rsidP="00B662E8">
      <w:pPr>
        <w:pStyle w:val="Default"/>
        <w:numPr>
          <w:ilvl w:val="0"/>
          <w:numId w:val="2"/>
        </w:numPr>
        <w:ind w:left="567" w:hanging="567"/>
      </w:pPr>
      <w:r>
        <w:t xml:space="preserve">Harrow Council is entering into a </w:t>
      </w:r>
      <w:r w:rsidR="00934D82">
        <w:t>s</w:t>
      </w:r>
      <w:r>
        <w:t xml:space="preserve">75 agreement under which the SALT and OT services delivery is agreed. </w:t>
      </w:r>
      <w:r w:rsidR="00B662E8">
        <w:t>Harrow</w:t>
      </w:r>
      <w:r>
        <w:t xml:space="preserve"> CCG </w:t>
      </w:r>
      <w:r w:rsidR="00B662E8">
        <w:t xml:space="preserve">is </w:t>
      </w:r>
      <w:r>
        <w:t>responsible for the delivery of these services to the Council and</w:t>
      </w:r>
      <w:r w:rsidR="00A66405">
        <w:t xml:space="preserve"> will award a contract to the provider.  </w:t>
      </w:r>
      <w:r>
        <w:t>Harrow Council</w:t>
      </w:r>
      <w:r w:rsidR="00B662E8">
        <w:t xml:space="preserve"> is</w:t>
      </w:r>
      <w:r>
        <w:t xml:space="preserve"> not party to the contract and therefore </w:t>
      </w:r>
      <w:r w:rsidR="00B662E8">
        <w:t xml:space="preserve">the </w:t>
      </w:r>
      <w:r>
        <w:t xml:space="preserve">recourse to any service issues is through the </w:t>
      </w:r>
      <w:r w:rsidR="00934D82">
        <w:t>s</w:t>
      </w:r>
      <w:r>
        <w:t>75 agreement.</w:t>
      </w:r>
    </w:p>
    <w:p w14:paraId="54FB1531" w14:textId="3F68DFAD" w:rsidR="00AB1C6E" w:rsidRDefault="00AB1C6E" w:rsidP="00AB1C6E">
      <w:pPr>
        <w:pStyle w:val="Default"/>
        <w:ind w:left="567"/>
      </w:pPr>
    </w:p>
    <w:p w14:paraId="3559D8C0" w14:textId="16FD79A3" w:rsidR="00AB1C6E" w:rsidRDefault="00AB1C6E" w:rsidP="0051592F">
      <w:pPr>
        <w:pStyle w:val="Default"/>
        <w:numPr>
          <w:ilvl w:val="0"/>
          <w:numId w:val="2"/>
        </w:numPr>
        <w:ind w:left="567" w:hanging="567"/>
      </w:pPr>
      <w:r>
        <w:t xml:space="preserve">To that end there is no direct procurement implication arising from the recommendations of this report. The </w:t>
      </w:r>
      <w:r w:rsidR="00934D82">
        <w:t>s</w:t>
      </w:r>
      <w:r>
        <w:t xml:space="preserve">75 agreement is a public sector to public sector agreement that falls outside of the scope of the Public </w:t>
      </w:r>
      <w:r w:rsidR="00A66405">
        <w:t xml:space="preserve">Procurement </w:t>
      </w:r>
      <w:r>
        <w:t xml:space="preserve">Regulations. </w:t>
      </w:r>
      <w:r w:rsidR="00B662E8">
        <w:t xml:space="preserve">The governance structure </w:t>
      </w:r>
      <w:r w:rsidR="00B5476C">
        <w:t xml:space="preserve">will </w:t>
      </w:r>
      <w:r w:rsidR="00B662E8">
        <w:t>be set out</w:t>
      </w:r>
      <w:r w:rsidR="00B5476C">
        <w:t xml:space="preserve"> within the </w:t>
      </w:r>
      <w:r w:rsidR="00934D82">
        <w:t>s</w:t>
      </w:r>
      <w:r w:rsidR="00B5476C">
        <w:t>75 agreement</w:t>
      </w:r>
      <w:r w:rsidR="0082265A">
        <w:t>.</w:t>
      </w:r>
      <w:r w:rsidR="00B5476C">
        <w:t xml:space="preserve"> </w:t>
      </w:r>
    </w:p>
    <w:p w14:paraId="7642261D" w14:textId="62BD1B46" w:rsidR="00AB1C6E" w:rsidRDefault="00AB1C6E" w:rsidP="00AB1C6E">
      <w:pPr>
        <w:pStyle w:val="Default"/>
        <w:ind w:left="567"/>
      </w:pPr>
    </w:p>
    <w:p w14:paraId="2354D4CE" w14:textId="0B13A86C" w:rsidR="004B70C7" w:rsidRPr="004B70C7" w:rsidRDefault="00B662E8" w:rsidP="004B70C7">
      <w:pPr>
        <w:pStyle w:val="Default"/>
        <w:numPr>
          <w:ilvl w:val="0"/>
          <w:numId w:val="2"/>
        </w:numPr>
        <w:ind w:left="567" w:hanging="567"/>
        <w:rPr>
          <w:color w:val="auto"/>
        </w:rPr>
      </w:pPr>
      <w:r>
        <w:rPr>
          <w:color w:val="auto"/>
        </w:rPr>
        <w:t xml:space="preserve">Harrow </w:t>
      </w:r>
      <w:r w:rsidR="00520F51">
        <w:rPr>
          <w:color w:val="auto"/>
        </w:rPr>
        <w:t xml:space="preserve">CCG </w:t>
      </w:r>
      <w:r w:rsidR="004B70C7" w:rsidRPr="004B70C7">
        <w:rPr>
          <w:color w:val="auto"/>
        </w:rPr>
        <w:t>Award of contract</w:t>
      </w:r>
      <w:r>
        <w:rPr>
          <w:color w:val="auto"/>
        </w:rPr>
        <w:t xml:space="preserve"> </w:t>
      </w:r>
      <w:r w:rsidR="004B70C7" w:rsidRPr="004B70C7">
        <w:rPr>
          <w:color w:val="auto"/>
        </w:rPr>
        <w:t xml:space="preserve">will be for two years, with </w:t>
      </w:r>
      <w:r w:rsidR="00E93D75">
        <w:rPr>
          <w:color w:val="auto"/>
        </w:rPr>
        <w:t xml:space="preserve">a </w:t>
      </w:r>
      <w:r w:rsidR="004B70C7" w:rsidRPr="004B70C7">
        <w:rPr>
          <w:color w:val="auto"/>
        </w:rPr>
        <w:t>review in 2022/23.</w:t>
      </w:r>
      <w:r w:rsidR="00520F51">
        <w:rPr>
          <w:color w:val="auto"/>
        </w:rPr>
        <w:t xml:space="preserve">  The LA joint commissioning financial contribution via the </w:t>
      </w:r>
      <w:r w:rsidR="00963C4E">
        <w:rPr>
          <w:color w:val="auto"/>
        </w:rPr>
        <w:t>s</w:t>
      </w:r>
      <w:r w:rsidR="00E56208">
        <w:rPr>
          <w:color w:val="auto"/>
        </w:rPr>
        <w:t xml:space="preserve">75 </w:t>
      </w:r>
      <w:r w:rsidR="00520F51">
        <w:rPr>
          <w:color w:val="auto"/>
        </w:rPr>
        <w:t>will be for 5 years</w:t>
      </w:r>
      <w:r w:rsidR="00A66405">
        <w:rPr>
          <w:color w:val="auto"/>
        </w:rPr>
        <w:t xml:space="preserve"> with the option to extend for a further 5 years</w:t>
      </w:r>
      <w:r>
        <w:rPr>
          <w:color w:val="auto"/>
        </w:rPr>
        <w:t>.</w:t>
      </w:r>
    </w:p>
    <w:p w14:paraId="44413A6E" w14:textId="6FBA3277" w:rsidR="00333FAA" w:rsidRDefault="00333FAA" w:rsidP="004B70C7">
      <w:pPr>
        <w:pStyle w:val="Heading3"/>
        <w:spacing w:before="480" w:after="240"/>
      </w:pPr>
      <w:r>
        <w:t>Legal Implications</w:t>
      </w:r>
    </w:p>
    <w:p w14:paraId="07CD8E48" w14:textId="02DF7129" w:rsidR="004B70C7" w:rsidRDefault="004B70C7" w:rsidP="004B70C7">
      <w:pPr>
        <w:pStyle w:val="ListParagraph"/>
        <w:numPr>
          <w:ilvl w:val="0"/>
          <w:numId w:val="2"/>
        </w:numPr>
        <w:autoSpaceDE w:val="0"/>
        <w:autoSpaceDN w:val="0"/>
        <w:ind w:left="567" w:hanging="578"/>
      </w:pPr>
      <w:r w:rsidRPr="004B70C7">
        <w:rPr>
          <w:rFonts w:cs="Arial"/>
        </w:rPr>
        <w:t xml:space="preserve">The Children and Families Act 2014 requires local authorities to keep their educational, training and social provision for children and young people with SEN under review, to ensure integration between these provisions and to promote wellbeing and improve quality of provision for children and young people with SEND.  This includes SALT and OT </w:t>
      </w:r>
      <w:r>
        <w:t>services.</w:t>
      </w:r>
    </w:p>
    <w:p w14:paraId="5104D45C" w14:textId="77777777" w:rsidR="004B70C7" w:rsidRDefault="004B70C7" w:rsidP="004B70C7">
      <w:pPr>
        <w:autoSpaceDE w:val="0"/>
        <w:autoSpaceDN w:val="0"/>
        <w:ind w:left="567" w:hanging="578"/>
      </w:pPr>
    </w:p>
    <w:p w14:paraId="3507AF5E" w14:textId="3B6477C0" w:rsidR="004B70C7" w:rsidRDefault="004B70C7" w:rsidP="004B70C7">
      <w:pPr>
        <w:pStyle w:val="ListParagraph"/>
        <w:numPr>
          <w:ilvl w:val="0"/>
          <w:numId w:val="2"/>
        </w:numPr>
        <w:ind w:left="567" w:hanging="578"/>
      </w:pPr>
      <w:r>
        <w:t>Section 75 of the National Health Service Act 2006 permits CCG and Local Authorities to commission services jointly.  The overarching People Services Section 75 commenced 1</w:t>
      </w:r>
      <w:r w:rsidRPr="004B70C7">
        <w:rPr>
          <w:vertAlign w:val="superscript"/>
        </w:rPr>
        <w:t>st</w:t>
      </w:r>
      <w:r>
        <w:t xml:space="preserve"> April 2017 with a 5 year period until 31</w:t>
      </w:r>
      <w:r w:rsidRPr="004B70C7">
        <w:rPr>
          <w:vertAlign w:val="superscript"/>
        </w:rPr>
        <w:t>st</w:t>
      </w:r>
      <w:r>
        <w:t xml:space="preserve"> March 2022. The overarching s75 provides the facility for the </w:t>
      </w:r>
      <w:r w:rsidR="000E54B9">
        <w:t xml:space="preserve">Council </w:t>
      </w:r>
      <w:r>
        <w:t xml:space="preserve">and CCG to jointly commission a range of services and add service specifications as separate schedules. </w:t>
      </w:r>
    </w:p>
    <w:p w14:paraId="11F2AC04" w14:textId="058182B5" w:rsidR="00333FAA" w:rsidRDefault="00333FAA" w:rsidP="004B70C7">
      <w:pPr>
        <w:pStyle w:val="Heading3"/>
        <w:spacing w:before="480" w:after="240"/>
      </w:pPr>
      <w:r>
        <w:t>Financial Implications</w:t>
      </w:r>
    </w:p>
    <w:p w14:paraId="60DE31B7" w14:textId="4CAF9612" w:rsidR="00C75523" w:rsidRDefault="00C75523" w:rsidP="00B662E8">
      <w:pPr>
        <w:pStyle w:val="ListParagraph"/>
        <w:numPr>
          <w:ilvl w:val="0"/>
          <w:numId w:val="2"/>
        </w:numPr>
        <w:ind w:left="567" w:hanging="567"/>
        <w:contextualSpacing/>
        <w:rPr>
          <w:rFonts w:cs="Arial"/>
          <w:szCs w:val="24"/>
        </w:rPr>
      </w:pPr>
      <w:r w:rsidRPr="00C75523">
        <w:rPr>
          <w:rFonts w:cs="Arial"/>
          <w:szCs w:val="24"/>
        </w:rPr>
        <w:t>Funding for these contracts will come from t</w:t>
      </w:r>
      <w:r w:rsidRPr="00943013">
        <w:rPr>
          <w:rFonts w:cs="Arial"/>
          <w:szCs w:val="24"/>
        </w:rPr>
        <w:t>he Dedicated Schools Grant (DSG) which is a ringfenced grant which includes a High Needs Block</w:t>
      </w:r>
      <w:r w:rsidR="00963C4E">
        <w:rPr>
          <w:rFonts w:cs="Arial"/>
          <w:szCs w:val="24"/>
        </w:rPr>
        <w:t xml:space="preserve"> (HNB) </w:t>
      </w:r>
      <w:r w:rsidRPr="00943013">
        <w:rPr>
          <w:rFonts w:cs="Arial"/>
          <w:szCs w:val="24"/>
        </w:rPr>
        <w:t xml:space="preserve">designed to support a continuum of provision for pupils and students with special educational needs and disabilities (SEND) from 0-25 years old. </w:t>
      </w:r>
    </w:p>
    <w:p w14:paraId="69DF58CA" w14:textId="77777777" w:rsidR="00943013" w:rsidRPr="00943013" w:rsidRDefault="00943013" w:rsidP="00B662E8">
      <w:pPr>
        <w:pStyle w:val="ListParagraph"/>
        <w:ind w:left="567" w:hanging="567"/>
        <w:contextualSpacing/>
        <w:rPr>
          <w:rFonts w:cs="Arial"/>
          <w:szCs w:val="24"/>
        </w:rPr>
      </w:pPr>
    </w:p>
    <w:p w14:paraId="472618F0" w14:textId="071D1A91" w:rsidR="00C75523" w:rsidRPr="0066354B" w:rsidRDefault="00C75523" w:rsidP="00B662E8">
      <w:pPr>
        <w:pStyle w:val="ListParagraph"/>
        <w:numPr>
          <w:ilvl w:val="0"/>
          <w:numId w:val="2"/>
        </w:numPr>
        <w:ind w:left="567" w:hanging="567"/>
        <w:rPr>
          <w:rFonts w:cs="Arial"/>
          <w:bCs/>
          <w:szCs w:val="24"/>
        </w:rPr>
      </w:pPr>
      <w:r>
        <w:rPr>
          <w:rFonts w:cs="Arial"/>
          <w:szCs w:val="24"/>
        </w:rPr>
        <w:t xml:space="preserve">There are significant pressures on the High Needs Block. </w:t>
      </w:r>
      <w:r w:rsidRPr="004B70C7">
        <w:rPr>
          <w:rFonts w:cs="Arial"/>
          <w:szCs w:val="24"/>
        </w:rPr>
        <w:t xml:space="preserve">In 2019-20 there was an overspend of £2.944m and there is a further projected overspend in 2020-21 of £3.157m taking the projected cumulative deficit on the HNB to £6.101m by March 2021. </w:t>
      </w:r>
    </w:p>
    <w:p w14:paraId="1B9798C4" w14:textId="77777777" w:rsidR="00C75523" w:rsidRPr="0066354B" w:rsidRDefault="00C75523" w:rsidP="00B662E8">
      <w:pPr>
        <w:pStyle w:val="ListParagraph"/>
        <w:ind w:left="567" w:hanging="567"/>
        <w:rPr>
          <w:rFonts w:cs="Arial"/>
          <w:bCs/>
          <w:szCs w:val="24"/>
        </w:rPr>
      </w:pPr>
    </w:p>
    <w:p w14:paraId="21CC480F" w14:textId="77777777" w:rsidR="00C75523" w:rsidRPr="0043038A" w:rsidRDefault="00C75523" w:rsidP="00B662E8">
      <w:pPr>
        <w:pStyle w:val="ListParagraph"/>
        <w:numPr>
          <w:ilvl w:val="0"/>
          <w:numId w:val="2"/>
        </w:numPr>
        <w:ind w:left="567" w:hanging="567"/>
        <w:rPr>
          <w:rFonts w:cs="Arial"/>
          <w:bCs/>
          <w:szCs w:val="24"/>
        </w:rPr>
      </w:pPr>
      <w:r w:rsidRPr="0066354B">
        <w:rPr>
          <w:rFonts w:cs="Arial"/>
          <w:bCs/>
          <w:szCs w:val="24"/>
        </w:rPr>
        <w:t>However</w:t>
      </w:r>
      <w:r>
        <w:rPr>
          <w:rFonts w:cs="Arial"/>
          <w:bCs/>
          <w:szCs w:val="24"/>
        </w:rPr>
        <w:t>, the</w:t>
      </w:r>
      <w:r w:rsidRPr="0066354B">
        <w:rPr>
          <w:rFonts w:cs="Arial"/>
        </w:rPr>
        <w:t xml:space="preserve"> financial contribution to the SALT and OT contracts ensure compliance with the statutory requirements of the code of practice for children with Special Educational Needs and the Children and Families Act 2014</w:t>
      </w:r>
      <w:r>
        <w:rPr>
          <w:rFonts w:cs="Arial"/>
        </w:rPr>
        <w:t>.</w:t>
      </w:r>
    </w:p>
    <w:p w14:paraId="34F52B69" w14:textId="77777777" w:rsidR="00C75523" w:rsidRPr="00A37DB0" w:rsidRDefault="00C75523" w:rsidP="00B662E8">
      <w:pPr>
        <w:pStyle w:val="ListParagraph"/>
        <w:ind w:left="567" w:hanging="567"/>
        <w:rPr>
          <w:rFonts w:cs="Arial"/>
          <w:bCs/>
          <w:szCs w:val="24"/>
        </w:rPr>
      </w:pPr>
    </w:p>
    <w:p w14:paraId="3C8F2B51" w14:textId="77777777" w:rsidR="00C75523" w:rsidRDefault="00C75523" w:rsidP="00B662E8">
      <w:pPr>
        <w:pStyle w:val="ListParagraph"/>
        <w:numPr>
          <w:ilvl w:val="0"/>
          <w:numId w:val="2"/>
        </w:numPr>
        <w:ind w:left="567" w:hanging="567"/>
        <w:rPr>
          <w:rFonts w:cs="Arial"/>
          <w:bCs/>
          <w:szCs w:val="24"/>
        </w:rPr>
      </w:pPr>
      <w:r>
        <w:rPr>
          <w:rFonts w:cs="Arial"/>
          <w:bCs/>
          <w:szCs w:val="24"/>
        </w:rPr>
        <w:t>Speech Language and Communication Needs (SLCN) is the main primary need in Harrow’s primary schools and the main secondary need for children and young people with SEND.</w:t>
      </w:r>
    </w:p>
    <w:p w14:paraId="5B7DA9E7" w14:textId="77777777" w:rsidR="00C75523" w:rsidRPr="00A37DB0" w:rsidRDefault="00C75523" w:rsidP="00B662E8">
      <w:pPr>
        <w:pStyle w:val="ListParagraph"/>
        <w:ind w:left="567" w:hanging="567"/>
        <w:rPr>
          <w:rFonts w:cs="Arial"/>
          <w:bCs/>
          <w:szCs w:val="24"/>
        </w:rPr>
      </w:pPr>
    </w:p>
    <w:p w14:paraId="16036DE9" w14:textId="66EC7077" w:rsidR="00C75523" w:rsidRDefault="00E56208" w:rsidP="00B662E8">
      <w:pPr>
        <w:pStyle w:val="ListParagraph"/>
        <w:numPr>
          <w:ilvl w:val="0"/>
          <w:numId w:val="2"/>
        </w:numPr>
        <w:ind w:left="567" w:hanging="567"/>
      </w:pPr>
      <w:r>
        <w:rPr>
          <w:rFonts w:cs="Arial"/>
          <w:bCs/>
          <w:szCs w:val="24"/>
        </w:rPr>
        <w:t>Investing</w:t>
      </w:r>
      <w:r w:rsidR="00C75523" w:rsidRPr="00207454">
        <w:rPr>
          <w:rFonts w:cs="Arial"/>
          <w:bCs/>
          <w:szCs w:val="24"/>
        </w:rPr>
        <w:t xml:space="preserve"> in SALT and OT will enable more children with a higher level of SEND to attend a mainstream school in Harrow which aligns with Harrow’s SEND Strategy to educate more pupils in borough thus reducing the requirement for expensive out of borough and independent school provision.</w:t>
      </w:r>
      <w:r w:rsidR="00B662E8">
        <w:rPr>
          <w:rFonts w:cs="Arial"/>
          <w:bCs/>
          <w:szCs w:val="24"/>
        </w:rPr>
        <w:t xml:space="preserve"> </w:t>
      </w:r>
      <w:r w:rsidR="00C75523" w:rsidRPr="00207454">
        <w:rPr>
          <w:rFonts w:eastAsia="+mn-ea" w:cs="Arial"/>
          <w:color w:val="000000"/>
          <w:kern w:val="24"/>
          <w:szCs w:val="24"/>
        </w:rPr>
        <w:t>Therefore</w:t>
      </w:r>
      <w:r w:rsidR="00963C4E">
        <w:rPr>
          <w:rFonts w:eastAsia="+mn-ea" w:cs="Arial"/>
          <w:color w:val="000000"/>
          <w:kern w:val="24"/>
          <w:szCs w:val="24"/>
        </w:rPr>
        <w:t>,</w:t>
      </w:r>
      <w:r w:rsidR="00C75523" w:rsidRPr="00207454">
        <w:rPr>
          <w:rFonts w:eastAsia="+mn-ea" w:cs="Arial"/>
          <w:color w:val="000000"/>
          <w:kern w:val="24"/>
          <w:szCs w:val="24"/>
        </w:rPr>
        <w:t xml:space="preserve"> funding of £640k for SALT and £145k for OT is committed to these contracts within the HNB. </w:t>
      </w:r>
      <w:r w:rsidR="00C75523" w:rsidRPr="00207454">
        <w:rPr>
          <w:szCs w:val="24"/>
        </w:rPr>
        <w:t xml:space="preserve">This funding </w:t>
      </w:r>
      <w:r w:rsidR="00C75523" w:rsidRPr="00207454">
        <w:rPr>
          <w:rFonts w:eastAsia="+mn-ea" w:cs="Arial"/>
          <w:kern w:val="24"/>
          <w:szCs w:val="24"/>
        </w:rPr>
        <w:t xml:space="preserve">will </w:t>
      </w:r>
      <w:r w:rsidR="00C75523" w:rsidRPr="00207454">
        <w:rPr>
          <w:rFonts w:eastAsia="+mn-ea" w:cs="Arial"/>
          <w:color w:val="000000"/>
          <w:kern w:val="24"/>
          <w:szCs w:val="24"/>
        </w:rPr>
        <w:t>apply to the new contract from April 2021, incorporating any new inflationary increase relevant to 2021/2022 contracts to ensure sufficiency of funding to meet Agenda for Change pay increases</w:t>
      </w:r>
      <w:r w:rsidR="00934D82">
        <w:rPr>
          <w:rFonts w:eastAsia="+mn-ea" w:cs="Arial"/>
          <w:color w:val="000000"/>
          <w:kern w:val="24"/>
          <w:szCs w:val="24"/>
        </w:rPr>
        <w:t>.</w:t>
      </w:r>
    </w:p>
    <w:p w14:paraId="41D80CF8" w14:textId="77777777" w:rsidR="00333FAA" w:rsidRPr="00B662E8" w:rsidRDefault="00333FAA" w:rsidP="00A1211C">
      <w:pPr>
        <w:pStyle w:val="Heading3"/>
        <w:spacing w:before="480" w:after="240"/>
      </w:pPr>
      <w:r w:rsidRPr="004A2543">
        <w:t>Equalities implications</w:t>
      </w:r>
      <w:r w:rsidR="001C7E35">
        <w:t xml:space="preserve"> </w:t>
      </w:r>
      <w:r w:rsidRPr="00333FAA">
        <w:t>/</w:t>
      </w:r>
      <w:r w:rsidR="001C7E35">
        <w:t xml:space="preserve"> </w:t>
      </w:r>
      <w:r w:rsidRPr="00333FAA">
        <w:t>Public Sector Equality Duty</w:t>
      </w:r>
    </w:p>
    <w:p w14:paraId="187654C5" w14:textId="606D0CEE" w:rsidR="000929A6" w:rsidRPr="004B70C7" w:rsidRDefault="004B70C7" w:rsidP="004D6488">
      <w:pPr>
        <w:pStyle w:val="ListParagraph"/>
        <w:numPr>
          <w:ilvl w:val="0"/>
          <w:numId w:val="2"/>
        </w:numPr>
        <w:ind w:left="567" w:hanging="567"/>
      </w:pPr>
      <w:bookmarkStart w:id="1" w:name="_Hlk59610248"/>
      <w:r w:rsidRPr="005665CE">
        <w:rPr>
          <w:szCs w:val="24"/>
        </w:rPr>
        <w:t xml:space="preserve">An Equality and Health Inequalities Impact Assessment has been undertaken by Brent CCG. </w:t>
      </w:r>
      <w:bookmarkEnd w:id="1"/>
      <w:r w:rsidRPr="005665CE">
        <w:rPr>
          <w:szCs w:val="24"/>
        </w:rPr>
        <w:t>The summary outcome is that the proposed transfer of community service to a new provider is unlikely to have an adverse effect on equality or inequalities. The review and updating of specifications provides an opportunity to develop population outcome measures that aim to reduc</w:t>
      </w:r>
      <w:r w:rsidR="00963C4E" w:rsidRPr="005665CE">
        <w:rPr>
          <w:szCs w:val="24"/>
        </w:rPr>
        <w:t>e</w:t>
      </w:r>
      <w:r w:rsidRPr="005665CE">
        <w:rPr>
          <w:szCs w:val="24"/>
        </w:rPr>
        <w:t xml:space="preserve"> inequalities in the health of Bent &amp; Harrow populations</w:t>
      </w:r>
      <w:r w:rsidR="005665CE" w:rsidRPr="005665CE">
        <w:rPr>
          <w:szCs w:val="24"/>
        </w:rPr>
        <w:t>.</w:t>
      </w:r>
    </w:p>
    <w:p w14:paraId="0E9ED8C5" w14:textId="479EA3B6" w:rsidR="00333FAA" w:rsidRDefault="00333FAA" w:rsidP="00A1211C">
      <w:pPr>
        <w:pStyle w:val="Heading3"/>
        <w:spacing w:before="480" w:after="240"/>
      </w:pPr>
      <w:r>
        <w:t xml:space="preserve">Council </w:t>
      </w:r>
      <w:r w:rsidRPr="009117F2">
        <w:t>Priorities</w:t>
      </w:r>
    </w:p>
    <w:p w14:paraId="1AC81060" w14:textId="433F56DF" w:rsidR="004B70C7" w:rsidRPr="00BF640A" w:rsidRDefault="004B70C7" w:rsidP="00C37D19">
      <w:pPr>
        <w:pStyle w:val="ListParagraph"/>
        <w:numPr>
          <w:ilvl w:val="0"/>
          <w:numId w:val="2"/>
        </w:numPr>
        <w:ind w:left="567" w:hanging="567"/>
        <w:contextualSpacing/>
        <w:rPr>
          <w:rFonts w:cs="Arial"/>
          <w:szCs w:val="24"/>
          <w:lang w:val="en-US"/>
        </w:rPr>
      </w:pPr>
      <w:r w:rsidRPr="00BF640A">
        <w:rPr>
          <w:rFonts w:cs="Arial"/>
          <w:szCs w:val="24"/>
          <w:lang w:val="en-US"/>
        </w:rPr>
        <w:t xml:space="preserve">The recommendations ensure that Harrow Council fulfils its statutory duties to provide </w:t>
      </w:r>
      <w:r>
        <w:rPr>
          <w:rFonts w:cs="Arial"/>
          <w:szCs w:val="24"/>
          <w:lang w:val="en-US"/>
        </w:rPr>
        <w:t xml:space="preserve">SALT and OT services to children and young people. </w:t>
      </w:r>
    </w:p>
    <w:p w14:paraId="0828F44B" w14:textId="77777777" w:rsidR="004B70C7" w:rsidRPr="00766033" w:rsidRDefault="004B70C7" w:rsidP="00C37D19">
      <w:pPr>
        <w:ind w:left="567" w:hanging="567"/>
        <w:rPr>
          <w:rFonts w:cs="Arial"/>
          <w:szCs w:val="24"/>
          <w:lang w:val="en-US"/>
        </w:rPr>
      </w:pPr>
    </w:p>
    <w:p w14:paraId="26308450" w14:textId="16DB5ABF" w:rsidR="004B70C7" w:rsidRDefault="004B70C7" w:rsidP="00C37D19">
      <w:pPr>
        <w:pStyle w:val="ListParagraph"/>
        <w:numPr>
          <w:ilvl w:val="0"/>
          <w:numId w:val="2"/>
        </w:numPr>
        <w:ind w:left="567" w:hanging="567"/>
        <w:contextualSpacing/>
        <w:rPr>
          <w:rFonts w:cs="Arial"/>
          <w:bCs/>
          <w:szCs w:val="24"/>
        </w:rPr>
      </w:pPr>
      <w:r w:rsidRPr="00BF640A">
        <w:rPr>
          <w:rFonts w:cs="Arial"/>
          <w:szCs w:val="24"/>
          <w:lang w:val="en-US"/>
        </w:rPr>
        <w:t xml:space="preserve">Providing services that </w:t>
      </w:r>
      <w:r>
        <w:rPr>
          <w:rFonts w:cs="Arial"/>
          <w:szCs w:val="24"/>
          <w:lang w:val="en-US"/>
        </w:rPr>
        <w:t xml:space="preserve">provide early intervention and </w:t>
      </w:r>
      <w:r w:rsidRPr="00BF640A">
        <w:rPr>
          <w:rFonts w:cs="Arial"/>
          <w:szCs w:val="24"/>
          <w:lang w:val="en-US"/>
        </w:rPr>
        <w:t xml:space="preserve">support </w:t>
      </w:r>
      <w:r>
        <w:rPr>
          <w:rFonts w:cs="Arial"/>
          <w:szCs w:val="24"/>
          <w:lang w:val="en-US"/>
        </w:rPr>
        <w:t>for complex health and education needs support</w:t>
      </w:r>
      <w:r w:rsidRPr="00BF640A">
        <w:rPr>
          <w:rFonts w:cs="Arial"/>
          <w:szCs w:val="24"/>
          <w:lang w:val="en-US"/>
        </w:rPr>
        <w:t xml:space="preserve"> </w:t>
      </w:r>
      <w:r>
        <w:rPr>
          <w:rFonts w:cs="Arial"/>
          <w:szCs w:val="24"/>
          <w:lang w:val="en-US"/>
        </w:rPr>
        <w:t xml:space="preserve">children and young people to access and achieve in education and be healthy contributing to the council’s priorities to </w:t>
      </w:r>
      <w:r>
        <w:rPr>
          <w:rFonts w:cs="Arial"/>
          <w:bCs/>
          <w:szCs w:val="24"/>
        </w:rPr>
        <w:t xml:space="preserve">reduce </w:t>
      </w:r>
      <w:r w:rsidRPr="00BF640A">
        <w:rPr>
          <w:rFonts w:cs="Arial"/>
          <w:bCs/>
          <w:szCs w:val="24"/>
        </w:rPr>
        <w:t>inequality and deliver</w:t>
      </w:r>
      <w:r>
        <w:rPr>
          <w:rFonts w:cs="Arial"/>
          <w:bCs/>
          <w:szCs w:val="24"/>
        </w:rPr>
        <w:t>ing integrated</w:t>
      </w:r>
      <w:r w:rsidRPr="00BF640A">
        <w:rPr>
          <w:rFonts w:cs="Arial"/>
          <w:bCs/>
          <w:szCs w:val="24"/>
        </w:rPr>
        <w:t xml:space="preserve"> </w:t>
      </w:r>
      <w:r>
        <w:rPr>
          <w:rFonts w:cs="Arial"/>
          <w:bCs/>
          <w:szCs w:val="24"/>
        </w:rPr>
        <w:t>services with</w:t>
      </w:r>
      <w:r w:rsidRPr="00BF640A">
        <w:rPr>
          <w:rFonts w:cs="Arial"/>
          <w:bCs/>
          <w:szCs w:val="24"/>
        </w:rPr>
        <w:t xml:space="preserve"> </w:t>
      </w:r>
      <w:r>
        <w:rPr>
          <w:rFonts w:cs="Arial"/>
          <w:bCs/>
          <w:szCs w:val="24"/>
        </w:rPr>
        <w:t xml:space="preserve">education, </w:t>
      </w:r>
      <w:r w:rsidRPr="00BF640A">
        <w:rPr>
          <w:rFonts w:cs="Arial"/>
          <w:bCs/>
          <w:szCs w:val="24"/>
        </w:rPr>
        <w:t>health and social care</w:t>
      </w:r>
      <w:r>
        <w:rPr>
          <w:rFonts w:cs="Arial"/>
          <w:bCs/>
          <w:szCs w:val="24"/>
        </w:rPr>
        <w:t>.</w:t>
      </w:r>
    </w:p>
    <w:p w14:paraId="5514D939" w14:textId="77777777" w:rsidR="00333FAA" w:rsidRDefault="00333FAA" w:rsidP="000B7C66">
      <w:pPr>
        <w:pStyle w:val="Heading2"/>
        <w:spacing w:before="480" w:after="240"/>
      </w:pPr>
      <w:r>
        <w:t>Section 3 - Statutory Officer Clearance</w:t>
      </w:r>
    </w:p>
    <w:p w14:paraId="3B5D52F9" w14:textId="6400AD76" w:rsidR="00A66326" w:rsidRPr="00A66326" w:rsidRDefault="00A66326" w:rsidP="00A66326">
      <w:pPr>
        <w:rPr>
          <w:sz w:val="28"/>
        </w:rPr>
      </w:pPr>
      <w:r w:rsidRPr="00A66326">
        <w:rPr>
          <w:b/>
          <w:sz w:val="28"/>
        </w:rPr>
        <w:t xml:space="preserve">Statutory Officer:  </w:t>
      </w:r>
      <w:r w:rsidR="0045345C">
        <w:rPr>
          <w:b/>
          <w:sz w:val="28"/>
        </w:rPr>
        <w:t>Jo Frost</w:t>
      </w:r>
    </w:p>
    <w:p w14:paraId="06450070" w14:textId="736D2B07" w:rsidR="00A66326" w:rsidRPr="00A66326" w:rsidRDefault="00A66326" w:rsidP="00A66326">
      <w:r w:rsidRPr="00A66326">
        <w:t>Signed on behalf of the Chief Financial Officer</w:t>
      </w:r>
    </w:p>
    <w:p w14:paraId="33977AD6" w14:textId="77777777" w:rsidR="00A66326" w:rsidRPr="00A66326" w:rsidRDefault="00A66326" w:rsidP="00A66326">
      <w:pPr>
        <w:rPr>
          <w:sz w:val="28"/>
        </w:rPr>
      </w:pPr>
    </w:p>
    <w:p w14:paraId="555021EF" w14:textId="7B55C0D2" w:rsidR="00A66326" w:rsidRPr="00A66326" w:rsidRDefault="00A66326" w:rsidP="00A66326">
      <w:pPr>
        <w:spacing w:after="480"/>
        <w:rPr>
          <w:sz w:val="28"/>
        </w:rPr>
      </w:pPr>
      <w:r w:rsidRPr="00A66326">
        <w:rPr>
          <w:b/>
          <w:sz w:val="28"/>
        </w:rPr>
        <w:t xml:space="preserve">Date:  </w:t>
      </w:r>
      <w:r w:rsidR="00934D82">
        <w:rPr>
          <w:b/>
          <w:sz w:val="28"/>
        </w:rPr>
        <w:t>8</w:t>
      </w:r>
      <w:r w:rsidR="00934D82" w:rsidRPr="00C972F0">
        <w:rPr>
          <w:b/>
          <w:sz w:val="28"/>
          <w:vertAlign w:val="superscript"/>
        </w:rPr>
        <w:t>th</w:t>
      </w:r>
      <w:r w:rsidR="00934D82">
        <w:rPr>
          <w:b/>
          <w:sz w:val="28"/>
        </w:rPr>
        <w:t xml:space="preserve"> January 2021</w:t>
      </w:r>
    </w:p>
    <w:p w14:paraId="7E329E85" w14:textId="43C7856B" w:rsidR="00A66326" w:rsidRPr="00A66326" w:rsidRDefault="00A66326" w:rsidP="00A66326">
      <w:pPr>
        <w:rPr>
          <w:sz w:val="28"/>
        </w:rPr>
      </w:pPr>
      <w:r w:rsidRPr="00A66326">
        <w:rPr>
          <w:b/>
          <w:sz w:val="28"/>
        </w:rPr>
        <w:t xml:space="preserve">Statutory Officer:  </w:t>
      </w:r>
      <w:r w:rsidR="000E54B9">
        <w:rPr>
          <w:b/>
          <w:sz w:val="28"/>
        </w:rPr>
        <w:t>Blessing Enejo</w:t>
      </w:r>
    </w:p>
    <w:p w14:paraId="76F84634" w14:textId="585640E5" w:rsidR="00A66326" w:rsidRPr="00A66326" w:rsidRDefault="00A66326" w:rsidP="00A66326">
      <w:r w:rsidRPr="00A66326">
        <w:t xml:space="preserve">Signed </w:t>
      </w:r>
      <w:r w:rsidR="000E54B9">
        <w:t xml:space="preserve">on behalf of </w:t>
      </w:r>
      <w:r w:rsidRPr="00A66326">
        <w:t>the Monitoring Officer</w:t>
      </w:r>
    </w:p>
    <w:p w14:paraId="76E71941" w14:textId="77777777" w:rsidR="00A66326" w:rsidRPr="00A66326" w:rsidRDefault="00A66326" w:rsidP="00A66326">
      <w:pPr>
        <w:rPr>
          <w:sz w:val="28"/>
        </w:rPr>
      </w:pPr>
    </w:p>
    <w:p w14:paraId="1AC0D358" w14:textId="44290C52" w:rsidR="00A66326" w:rsidRPr="003313EA" w:rsidRDefault="00A66326" w:rsidP="00A66326">
      <w:pPr>
        <w:spacing w:after="480"/>
        <w:rPr>
          <w:sz w:val="28"/>
        </w:rPr>
      </w:pPr>
      <w:r w:rsidRPr="00A66326">
        <w:rPr>
          <w:b/>
          <w:sz w:val="28"/>
        </w:rPr>
        <w:t xml:space="preserve">Date:  </w:t>
      </w:r>
      <w:r w:rsidR="00934D82">
        <w:rPr>
          <w:b/>
          <w:sz w:val="28"/>
        </w:rPr>
        <w:t>8</w:t>
      </w:r>
      <w:r w:rsidR="00934D82" w:rsidRPr="00934D82">
        <w:rPr>
          <w:b/>
          <w:sz w:val="28"/>
          <w:vertAlign w:val="superscript"/>
        </w:rPr>
        <w:t>th</w:t>
      </w:r>
      <w:r w:rsidR="00934D82">
        <w:rPr>
          <w:b/>
          <w:sz w:val="28"/>
        </w:rPr>
        <w:t xml:space="preserve"> January 2021</w:t>
      </w:r>
    </w:p>
    <w:p w14:paraId="72788CD7" w14:textId="72A313A2" w:rsidR="00A66326" w:rsidRPr="003313EA" w:rsidRDefault="00A66326" w:rsidP="00A66326">
      <w:pPr>
        <w:rPr>
          <w:sz w:val="28"/>
        </w:rPr>
      </w:pPr>
      <w:r w:rsidRPr="00A66326">
        <w:rPr>
          <w:b/>
          <w:sz w:val="28"/>
        </w:rPr>
        <w:lastRenderedPageBreak/>
        <w:t xml:space="preserve">Statutory Officer:  </w:t>
      </w:r>
      <w:r w:rsidR="0045345C">
        <w:rPr>
          <w:b/>
          <w:sz w:val="28"/>
        </w:rPr>
        <w:t xml:space="preserve">Lisa Taylor </w:t>
      </w:r>
    </w:p>
    <w:p w14:paraId="15C004F3" w14:textId="0DEBBE13" w:rsidR="00A66326" w:rsidRPr="003313EA" w:rsidRDefault="00A66326" w:rsidP="00A66326">
      <w:r w:rsidRPr="003313EA">
        <w:t>Signed on behalf of the Head of Procurement</w:t>
      </w:r>
      <w:r w:rsidR="00AE2692">
        <w:t xml:space="preserve"> </w:t>
      </w:r>
    </w:p>
    <w:p w14:paraId="1C36C60F" w14:textId="77777777" w:rsidR="00A66326" w:rsidRPr="00A66326" w:rsidRDefault="00A66326" w:rsidP="00A66326">
      <w:pPr>
        <w:rPr>
          <w:sz w:val="28"/>
        </w:rPr>
      </w:pPr>
    </w:p>
    <w:p w14:paraId="7C58F35B" w14:textId="39A3245D" w:rsidR="00A66326" w:rsidRPr="00A66326" w:rsidRDefault="00A66326" w:rsidP="00A66326">
      <w:pPr>
        <w:spacing w:after="480"/>
        <w:rPr>
          <w:sz w:val="28"/>
        </w:rPr>
      </w:pPr>
      <w:r w:rsidRPr="00A66326">
        <w:rPr>
          <w:b/>
          <w:sz w:val="28"/>
        </w:rPr>
        <w:t xml:space="preserve">Date:  </w:t>
      </w:r>
      <w:r w:rsidR="00934D82">
        <w:rPr>
          <w:b/>
          <w:sz w:val="28"/>
        </w:rPr>
        <w:t>8</w:t>
      </w:r>
      <w:r w:rsidR="00934D82" w:rsidRPr="00C972F0">
        <w:rPr>
          <w:b/>
          <w:sz w:val="28"/>
          <w:vertAlign w:val="superscript"/>
        </w:rPr>
        <w:t>th</w:t>
      </w:r>
      <w:r w:rsidR="00934D82">
        <w:rPr>
          <w:b/>
          <w:sz w:val="28"/>
        </w:rPr>
        <w:t xml:space="preserve"> January 2021</w:t>
      </w:r>
    </w:p>
    <w:p w14:paraId="7B7CECF4" w14:textId="1EB6CBB4" w:rsidR="00A66326" w:rsidRPr="00A66326" w:rsidRDefault="00A66326" w:rsidP="00A66326">
      <w:pPr>
        <w:rPr>
          <w:sz w:val="28"/>
        </w:rPr>
      </w:pPr>
      <w:r w:rsidRPr="00A66326">
        <w:rPr>
          <w:b/>
          <w:sz w:val="28"/>
        </w:rPr>
        <w:t xml:space="preserve">Statutory Officer:  </w:t>
      </w:r>
      <w:r w:rsidR="0045345C">
        <w:rPr>
          <w:b/>
          <w:sz w:val="28"/>
        </w:rPr>
        <w:t>Paul Hewitt</w:t>
      </w:r>
    </w:p>
    <w:p w14:paraId="029B596F" w14:textId="77777777" w:rsidR="00A66326" w:rsidRPr="00A66326" w:rsidRDefault="00F51E01" w:rsidP="00A66326">
      <w:r>
        <w:t>Signed</w:t>
      </w:r>
      <w:r w:rsidR="00A66326" w:rsidRPr="00A66326">
        <w:t xml:space="preserve"> by the Corporate Director</w:t>
      </w:r>
    </w:p>
    <w:p w14:paraId="1CC2B67E" w14:textId="77777777" w:rsidR="00A66326" w:rsidRPr="00A66326" w:rsidRDefault="00A66326" w:rsidP="00A66326">
      <w:pPr>
        <w:rPr>
          <w:sz w:val="28"/>
        </w:rPr>
      </w:pPr>
    </w:p>
    <w:p w14:paraId="74DFB7F8" w14:textId="42B6D6A8" w:rsidR="00A66326" w:rsidRDefault="00A66326" w:rsidP="00A66326">
      <w:pPr>
        <w:spacing w:after="480"/>
        <w:rPr>
          <w:b/>
          <w:sz w:val="28"/>
        </w:rPr>
      </w:pPr>
      <w:r w:rsidRPr="00A66326">
        <w:rPr>
          <w:b/>
          <w:sz w:val="28"/>
        </w:rPr>
        <w:t xml:space="preserve">Date:  </w:t>
      </w:r>
      <w:r w:rsidR="00934D82">
        <w:rPr>
          <w:b/>
          <w:sz w:val="28"/>
        </w:rPr>
        <w:t>8</w:t>
      </w:r>
      <w:r w:rsidR="00934D82" w:rsidRPr="00C972F0">
        <w:rPr>
          <w:b/>
          <w:sz w:val="28"/>
          <w:vertAlign w:val="superscript"/>
        </w:rPr>
        <w:t>th</w:t>
      </w:r>
      <w:r w:rsidR="00934D82">
        <w:rPr>
          <w:b/>
          <w:sz w:val="28"/>
        </w:rPr>
        <w:t xml:space="preserve"> January 2021</w:t>
      </w:r>
    </w:p>
    <w:p w14:paraId="67BBAB33" w14:textId="636EA5E7" w:rsidR="00506185" w:rsidRPr="00A66326" w:rsidRDefault="00506185" w:rsidP="00506185">
      <w:pPr>
        <w:rPr>
          <w:sz w:val="28"/>
        </w:rPr>
      </w:pPr>
      <w:r w:rsidRPr="00A66326">
        <w:rPr>
          <w:b/>
          <w:sz w:val="28"/>
        </w:rPr>
        <w:t xml:space="preserve">Statutory Officer:  </w:t>
      </w:r>
      <w:r w:rsidR="00495C01">
        <w:rPr>
          <w:b/>
          <w:sz w:val="28"/>
        </w:rPr>
        <w:t xml:space="preserve">Susan Dixson </w:t>
      </w:r>
    </w:p>
    <w:p w14:paraId="1A54F52A" w14:textId="64E21F37" w:rsidR="00506185" w:rsidRPr="003313EA" w:rsidRDefault="00506185" w:rsidP="00506185">
      <w:r w:rsidRPr="003313EA">
        <w:t xml:space="preserve">Signed by the Head of </w:t>
      </w:r>
      <w:r>
        <w:t>Internal Audit</w:t>
      </w:r>
    </w:p>
    <w:p w14:paraId="14A4851C" w14:textId="77777777" w:rsidR="00506185" w:rsidRPr="00A66326" w:rsidRDefault="00506185" w:rsidP="00506185">
      <w:pPr>
        <w:rPr>
          <w:sz w:val="28"/>
        </w:rPr>
      </w:pPr>
    </w:p>
    <w:p w14:paraId="069350BA" w14:textId="5C172BAA" w:rsidR="00506185" w:rsidRPr="00A66326" w:rsidRDefault="00506185" w:rsidP="00506185">
      <w:pPr>
        <w:spacing w:after="480"/>
        <w:rPr>
          <w:sz w:val="28"/>
        </w:rPr>
      </w:pPr>
      <w:r w:rsidRPr="00A66326">
        <w:rPr>
          <w:b/>
          <w:sz w:val="28"/>
        </w:rPr>
        <w:t xml:space="preserve">Date:  </w:t>
      </w:r>
      <w:r w:rsidR="00495C01">
        <w:rPr>
          <w:b/>
          <w:sz w:val="28"/>
        </w:rPr>
        <w:t>7</w:t>
      </w:r>
      <w:r w:rsidR="00495C01" w:rsidRPr="00495C01">
        <w:rPr>
          <w:b/>
          <w:sz w:val="28"/>
          <w:vertAlign w:val="superscript"/>
        </w:rPr>
        <w:t>th</w:t>
      </w:r>
      <w:r w:rsidR="00495C01">
        <w:rPr>
          <w:b/>
          <w:sz w:val="28"/>
        </w:rPr>
        <w:t xml:space="preserve"> January 2021</w:t>
      </w:r>
    </w:p>
    <w:p w14:paraId="45A19EC7" w14:textId="77777777" w:rsidR="003313EA" w:rsidRPr="00435B5D" w:rsidRDefault="003313EA" w:rsidP="003313EA">
      <w:pPr>
        <w:pStyle w:val="Heading2"/>
        <w:spacing w:after="240"/>
      </w:pPr>
      <w:r>
        <w:t>Mandatory Checks</w:t>
      </w:r>
    </w:p>
    <w:p w14:paraId="64551188" w14:textId="6874C511"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A2D9472" w14:textId="6AF8E1DE" w:rsidR="003313EA" w:rsidRDefault="003313EA" w:rsidP="003313EA">
      <w:pPr>
        <w:pStyle w:val="Heading3"/>
        <w:spacing w:before="240"/>
      </w:pPr>
      <w:proofErr w:type="spellStart"/>
      <w:r w:rsidRPr="00202D79">
        <w:t>EqIA</w:t>
      </w:r>
      <w:proofErr w:type="spellEnd"/>
      <w:r w:rsidRPr="00202D79">
        <w:t xml:space="preserve"> carried out:</w:t>
      </w:r>
      <w:r>
        <w:t xml:space="preserve">  </w:t>
      </w:r>
      <w:r w:rsidRPr="00202D79">
        <w:t>NO</w:t>
      </w:r>
    </w:p>
    <w:p w14:paraId="68FE03DF" w14:textId="73E77686" w:rsidR="00520F51" w:rsidRDefault="00520F51" w:rsidP="00520F51"/>
    <w:p w14:paraId="11BADDD5" w14:textId="44DF885F" w:rsidR="00520F51" w:rsidRPr="00520F51" w:rsidRDefault="00520F51" w:rsidP="00520F51">
      <w:r w:rsidRPr="004B70C7">
        <w:rPr>
          <w:szCs w:val="24"/>
        </w:rPr>
        <w:t>A</w:t>
      </w:r>
      <w:r>
        <w:rPr>
          <w:szCs w:val="24"/>
        </w:rPr>
        <w:t>n</w:t>
      </w:r>
      <w:r w:rsidRPr="004B70C7">
        <w:rPr>
          <w:szCs w:val="24"/>
        </w:rPr>
        <w:t xml:space="preserve"> </w:t>
      </w:r>
      <w:r>
        <w:rPr>
          <w:szCs w:val="24"/>
        </w:rPr>
        <w:t xml:space="preserve">Equality </w:t>
      </w:r>
      <w:r w:rsidRPr="004B70C7">
        <w:rPr>
          <w:szCs w:val="24"/>
        </w:rPr>
        <w:t>and Health Inequalities Impact Assessment has been undertaken by Brent CCG</w:t>
      </w:r>
      <w:r>
        <w:rPr>
          <w:szCs w:val="24"/>
        </w:rPr>
        <w:t xml:space="preserve"> as the lead commissioner.</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40E97BB1" w14:textId="77777777" w:rsidR="00520F51" w:rsidRDefault="00333FAA" w:rsidP="00CC18AC">
      <w:pPr>
        <w:pStyle w:val="Infotext"/>
        <w:spacing w:after="240"/>
        <w:rPr>
          <w:b/>
        </w:rPr>
      </w:pPr>
      <w:r w:rsidRPr="004E47FC">
        <w:rPr>
          <w:b/>
        </w:rPr>
        <w:t xml:space="preserve">Contact:  </w:t>
      </w:r>
    </w:p>
    <w:p w14:paraId="0005C0E4" w14:textId="0F0D583F" w:rsidR="00333FAA" w:rsidRPr="00520F51" w:rsidRDefault="004B70C7" w:rsidP="00CC18AC">
      <w:pPr>
        <w:pStyle w:val="Infotext"/>
        <w:spacing w:after="240"/>
        <w:rPr>
          <w:sz w:val="24"/>
          <w:szCs w:val="18"/>
        </w:rPr>
      </w:pPr>
      <w:r w:rsidRPr="00520F51">
        <w:rPr>
          <w:sz w:val="24"/>
          <w:szCs w:val="18"/>
        </w:rPr>
        <w:t>Priya Ganatra</w:t>
      </w:r>
      <w:r w:rsidR="005808FB" w:rsidRPr="00520F51">
        <w:rPr>
          <w:sz w:val="24"/>
          <w:szCs w:val="18"/>
        </w:rPr>
        <w:t xml:space="preserve">, </w:t>
      </w:r>
      <w:r w:rsidRPr="00520F51">
        <w:rPr>
          <w:sz w:val="24"/>
          <w:szCs w:val="18"/>
        </w:rPr>
        <w:t>Strategic Commissioning Manager, Children and Young Peoples Services</w:t>
      </w:r>
      <w:r w:rsidR="005665CE">
        <w:rPr>
          <w:sz w:val="24"/>
          <w:szCs w:val="18"/>
        </w:rPr>
        <w:t xml:space="preserve">, </w:t>
      </w:r>
      <w:hyperlink r:id="rId13" w:history="1">
        <w:r w:rsidR="005665CE" w:rsidRPr="009343A7">
          <w:rPr>
            <w:rStyle w:val="Hyperlink"/>
            <w:sz w:val="24"/>
            <w:szCs w:val="18"/>
          </w:rPr>
          <w:t>Priya.Ganatra@harrow.gov.uk</w:t>
        </w:r>
      </w:hyperlink>
      <w:r w:rsidR="00AE2692" w:rsidRPr="00520F51">
        <w:rPr>
          <w:sz w:val="24"/>
          <w:szCs w:val="18"/>
        </w:rPr>
        <w:t xml:space="preserve"> </w:t>
      </w:r>
    </w:p>
    <w:p w14:paraId="77C58D4B" w14:textId="65961BED" w:rsidR="00333FAA" w:rsidRPr="004B70C7" w:rsidRDefault="00333FAA" w:rsidP="00CC18AC">
      <w:pPr>
        <w:pStyle w:val="Infotext"/>
        <w:spacing w:after="240"/>
        <w:rPr>
          <w:b/>
        </w:rPr>
      </w:pPr>
      <w:r w:rsidRPr="004B70C7">
        <w:rPr>
          <w:b/>
        </w:rPr>
        <w:t xml:space="preserve">Background Papers: </w:t>
      </w:r>
      <w:r w:rsidR="005808FB" w:rsidRPr="004B70C7">
        <w:rPr>
          <w:b/>
        </w:rPr>
        <w:t xml:space="preserve"> </w:t>
      </w:r>
      <w:r w:rsidR="004B70C7" w:rsidRPr="004B70C7">
        <w:t>None</w:t>
      </w:r>
    </w:p>
    <w:p w14:paraId="7C8FEB52" w14:textId="68920CF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17CDBD67" w14:textId="0E579451" w:rsidR="00842757" w:rsidRDefault="00842757" w:rsidP="00842757">
      <w:pPr>
        <w:pStyle w:val="Infotext"/>
        <w:spacing w:before="240"/>
      </w:pPr>
      <w:r w:rsidRPr="003D78F6">
        <w:rPr>
          <w:b/>
        </w:rPr>
        <w:t xml:space="preserve">NO </w:t>
      </w:r>
    </w:p>
    <w:p w14:paraId="64CD2E3A" w14:textId="77777777" w:rsidR="003953E1" w:rsidRPr="00ED6776" w:rsidRDefault="003953E1">
      <w:pPr>
        <w:pStyle w:val="Infotext"/>
        <w:tabs>
          <w:tab w:val="left" w:pos="3768"/>
          <w:tab w:val="left" w:pos="4315"/>
        </w:tabs>
        <w:rPr>
          <w:rFonts w:cs="Arial"/>
          <w:i/>
          <w:sz w:val="24"/>
          <w:szCs w:val="24"/>
          <w:lang w:eastAsia="en-GB"/>
        </w:rPr>
      </w:pPr>
      <w:bookmarkStart w:id="2" w:name="_GoBack"/>
      <w:bookmarkEnd w:id="2"/>
    </w:p>
    <w:sectPr w:rsidR="003953E1" w:rsidRPr="00ED6776"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DE949" w14:textId="77777777" w:rsidR="00DE7DE2" w:rsidRDefault="00DE7DE2">
      <w:r>
        <w:separator/>
      </w:r>
    </w:p>
  </w:endnote>
  <w:endnote w:type="continuationSeparator" w:id="0">
    <w:p w14:paraId="25203CF4" w14:textId="77777777" w:rsidR="00DE7DE2" w:rsidRDefault="00DE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genda-Semibold">
    <w:altName w:val="Calibri"/>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035CF" w14:textId="77777777" w:rsidR="00DE7DE2" w:rsidRDefault="00DE7DE2">
      <w:r>
        <w:separator/>
      </w:r>
    </w:p>
  </w:footnote>
  <w:footnote w:type="continuationSeparator" w:id="0">
    <w:p w14:paraId="58341BB9" w14:textId="77777777" w:rsidR="00DE7DE2" w:rsidRDefault="00DE7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35F01"/>
    <w:multiLevelType w:val="hybridMultilevel"/>
    <w:tmpl w:val="93140BB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AB9670B"/>
    <w:multiLevelType w:val="hybridMultilevel"/>
    <w:tmpl w:val="CD72328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317FEF"/>
    <w:multiLevelType w:val="hybridMultilevel"/>
    <w:tmpl w:val="91260882"/>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61EC75B5"/>
    <w:multiLevelType w:val="hybridMultilevel"/>
    <w:tmpl w:val="EF5AF7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FAA"/>
    <w:rsid w:val="0000089B"/>
    <w:rsid w:val="00000F15"/>
    <w:rsid w:val="00010339"/>
    <w:rsid w:val="0002238F"/>
    <w:rsid w:val="00033FEE"/>
    <w:rsid w:val="0004029A"/>
    <w:rsid w:val="000474E3"/>
    <w:rsid w:val="000547EF"/>
    <w:rsid w:val="0006034E"/>
    <w:rsid w:val="00063783"/>
    <w:rsid w:val="00065791"/>
    <w:rsid w:val="00073765"/>
    <w:rsid w:val="00090B5C"/>
    <w:rsid w:val="000929A6"/>
    <w:rsid w:val="00094016"/>
    <w:rsid w:val="0009799C"/>
    <w:rsid w:val="000A12F8"/>
    <w:rsid w:val="000B5015"/>
    <w:rsid w:val="000B788F"/>
    <w:rsid w:val="000B7C66"/>
    <w:rsid w:val="000D2DCC"/>
    <w:rsid w:val="000D4E36"/>
    <w:rsid w:val="000D5FF3"/>
    <w:rsid w:val="000E54B9"/>
    <w:rsid w:val="000E62FE"/>
    <w:rsid w:val="0010620E"/>
    <w:rsid w:val="00115B50"/>
    <w:rsid w:val="001161E4"/>
    <w:rsid w:val="00125A26"/>
    <w:rsid w:val="00126103"/>
    <w:rsid w:val="00127B45"/>
    <w:rsid w:val="00143597"/>
    <w:rsid w:val="001436DE"/>
    <w:rsid w:val="001472A8"/>
    <w:rsid w:val="0015376F"/>
    <w:rsid w:val="001614E0"/>
    <w:rsid w:val="00161998"/>
    <w:rsid w:val="00171BD8"/>
    <w:rsid w:val="0017653E"/>
    <w:rsid w:val="00182B01"/>
    <w:rsid w:val="00183BA4"/>
    <w:rsid w:val="001840D2"/>
    <w:rsid w:val="001966D7"/>
    <w:rsid w:val="001A7FB4"/>
    <w:rsid w:val="001C4D2E"/>
    <w:rsid w:val="001C7E35"/>
    <w:rsid w:val="001D13C8"/>
    <w:rsid w:val="001E3C06"/>
    <w:rsid w:val="001F0037"/>
    <w:rsid w:val="001F0BE9"/>
    <w:rsid w:val="001F5B8D"/>
    <w:rsid w:val="00202D79"/>
    <w:rsid w:val="00205D2F"/>
    <w:rsid w:val="00206175"/>
    <w:rsid w:val="00207454"/>
    <w:rsid w:val="00215E8F"/>
    <w:rsid w:val="00221247"/>
    <w:rsid w:val="00221A93"/>
    <w:rsid w:val="002322BB"/>
    <w:rsid w:val="00250C60"/>
    <w:rsid w:val="00251254"/>
    <w:rsid w:val="00251939"/>
    <w:rsid w:val="002548D1"/>
    <w:rsid w:val="0027283B"/>
    <w:rsid w:val="0027491B"/>
    <w:rsid w:val="00275F7D"/>
    <w:rsid w:val="0028019B"/>
    <w:rsid w:val="00282D5F"/>
    <w:rsid w:val="00282E73"/>
    <w:rsid w:val="00283CAB"/>
    <w:rsid w:val="0028525A"/>
    <w:rsid w:val="00291C16"/>
    <w:rsid w:val="002A3FEF"/>
    <w:rsid w:val="002B54A6"/>
    <w:rsid w:val="002C283B"/>
    <w:rsid w:val="002C7996"/>
    <w:rsid w:val="002D5C43"/>
    <w:rsid w:val="002D78DE"/>
    <w:rsid w:val="002E1DCC"/>
    <w:rsid w:val="002F3EE9"/>
    <w:rsid w:val="00305526"/>
    <w:rsid w:val="00307F76"/>
    <w:rsid w:val="00316943"/>
    <w:rsid w:val="00321FBB"/>
    <w:rsid w:val="003221CC"/>
    <w:rsid w:val="00324301"/>
    <w:rsid w:val="00324672"/>
    <w:rsid w:val="0032540D"/>
    <w:rsid w:val="003313EA"/>
    <w:rsid w:val="00331A88"/>
    <w:rsid w:val="00333FAA"/>
    <w:rsid w:val="003355D7"/>
    <w:rsid w:val="00340E42"/>
    <w:rsid w:val="00354C9A"/>
    <w:rsid w:val="003614B7"/>
    <w:rsid w:val="0036201C"/>
    <w:rsid w:val="003641A7"/>
    <w:rsid w:val="00364FFC"/>
    <w:rsid w:val="00366D5E"/>
    <w:rsid w:val="00366EBD"/>
    <w:rsid w:val="003670D1"/>
    <w:rsid w:val="003758CE"/>
    <w:rsid w:val="00376768"/>
    <w:rsid w:val="00380F5D"/>
    <w:rsid w:val="00385816"/>
    <w:rsid w:val="00390499"/>
    <w:rsid w:val="003953E1"/>
    <w:rsid w:val="003C6458"/>
    <w:rsid w:val="003E15E7"/>
    <w:rsid w:val="003F22F9"/>
    <w:rsid w:val="003F3AFD"/>
    <w:rsid w:val="003F4DB7"/>
    <w:rsid w:val="003F6F4C"/>
    <w:rsid w:val="004076C8"/>
    <w:rsid w:val="004207E3"/>
    <w:rsid w:val="004209B7"/>
    <w:rsid w:val="00421A4C"/>
    <w:rsid w:val="004238C2"/>
    <w:rsid w:val="00430522"/>
    <w:rsid w:val="00432968"/>
    <w:rsid w:val="00432FA6"/>
    <w:rsid w:val="00435B5D"/>
    <w:rsid w:val="004363F7"/>
    <w:rsid w:val="00436FBB"/>
    <w:rsid w:val="0044357B"/>
    <w:rsid w:val="0044525C"/>
    <w:rsid w:val="00446E58"/>
    <w:rsid w:val="0045345C"/>
    <w:rsid w:val="004538B1"/>
    <w:rsid w:val="004553F1"/>
    <w:rsid w:val="00460617"/>
    <w:rsid w:val="004707C4"/>
    <w:rsid w:val="00471C1F"/>
    <w:rsid w:val="004809FA"/>
    <w:rsid w:val="00495C01"/>
    <w:rsid w:val="004B70C7"/>
    <w:rsid w:val="004C2526"/>
    <w:rsid w:val="004C4A75"/>
    <w:rsid w:val="004D2DA0"/>
    <w:rsid w:val="004D3A22"/>
    <w:rsid w:val="004E14A4"/>
    <w:rsid w:val="004F54BD"/>
    <w:rsid w:val="004F56C5"/>
    <w:rsid w:val="004F67DC"/>
    <w:rsid w:val="00502037"/>
    <w:rsid w:val="00506185"/>
    <w:rsid w:val="00507363"/>
    <w:rsid w:val="0051592F"/>
    <w:rsid w:val="0051780E"/>
    <w:rsid w:val="00520320"/>
    <w:rsid w:val="00520F51"/>
    <w:rsid w:val="00530EFA"/>
    <w:rsid w:val="005354D0"/>
    <w:rsid w:val="0054172C"/>
    <w:rsid w:val="0054590F"/>
    <w:rsid w:val="005459EC"/>
    <w:rsid w:val="005665CE"/>
    <w:rsid w:val="00570D23"/>
    <w:rsid w:val="005718B5"/>
    <w:rsid w:val="005723AA"/>
    <w:rsid w:val="00573CB3"/>
    <w:rsid w:val="00573FCD"/>
    <w:rsid w:val="00577398"/>
    <w:rsid w:val="005808FB"/>
    <w:rsid w:val="005811F8"/>
    <w:rsid w:val="00582605"/>
    <w:rsid w:val="00582A27"/>
    <w:rsid w:val="00585077"/>
    <w:rsid w:val="0059049F"/>
    <w:rsid w:val="005904CA"/>
    <w:rsid w:val="00591016"/>
    <w:rsid w:val="005A3DFB"/>
    <w:rsid w:val="005A6D92"/>
    <w:rsid w:val="005A6EA0"/>
    <w:rsid w:val="005B3F67"/>
    <w:rsid w:val="005D548F"/>
    <w:rsid w:val="005D5D55"/>
    <w:rsid w:val="005D6EF5"/>
    <w:rsid w:val="005D7977"/>
    <w:rsid w:val="005E3A10"/>
    <w:rsid w:val="005E7509"/>
    <w:rsid w:val="005F2AF2"/>
    <w:rsid w:val="005F33EA"/>
    <w:rsid w:val="00605A4C"/>
    <w:rsid w:val="00611FF7"/>
    <w:rsid w:val="00625229"/>
    <w:rsid w:val="00645B8B"/>
    <w:rsid w:val="00647B79"/>
    <w:rsid w:val="00655044"/>
    <w:rsid w:val="00656372"/>
    <w:rsid w:val="00657753"/>
    <w:rsid w:val="00666884"/>
    <w:rsid w:val="00666922"/>
    <w:rsid w:val="00670F17"/>
    <w:rsid w:val="006710C7"/>
    <w:rsid w:val="00680445"/>
    <w:rsid w:val="00682CBD"/>
    <w:rsid w:val="0069407B"/>
    <w:rsid w:val="00696A83"/>
    <w:rsid w:val="006A0AC5"/>
    <w:rsid w:val="006C0CC4"/>
    <w:rsid w:val="006C1FB8"/>
    <w:rsid w:val="006C580A"/>
    <w:rsid w:val="006C6CE5"/>
    <w:rsid w:val="006C7B44"/>
    <w:rsid w:val="006D1E69"/>
    <w:rsid w:val="006E2C29"/>
    <w:rsid w:val="006F057C"/>
    <w:rsid w:val="006F22DA"/>
    <w:rsid w:val="006F2EB3"/>
    <w:rsid w:val="0070438F"/>
    <w:rsid w:val="007074A1"/>
    <w:rsid w:val="007116B1"/>
    <w:rsid w:val="00714BEE"/>
    <w:rsid w:val="00721215"/>
    <w:rsid w:val="00734433"/>
    <w:rsid w:val="007400CF"/>
    <w:rsid w:val="00765C32"/>
    <w:rsid w:val="00776A81"/>
    <w:rsid w:val="007773B7"/>
    <w:rsid w:val="0079260D"/>
    <w:rsid w:val="00793C31"/>
    <w:rsid w:val="007A2690"/>
    <w:rsid w:val="007B14D8"/>
    <w:rsid w:val="007B23FC"/>
    <w:rsid w:val="007D0C1D"/>
    <w:rsid w:val="007D2000"/>
    <w:rsid w:val="007D4DBF"/>
    <w:rsid w:val="007E4732"/>
    <w:rsid w:val="007E4843"/>
    <w:rsid w:val="007E4BA4"/>
    <w:rsid w:val="007F004E"/>
    <w:rsid w:val="007F335A"/>
    <w:rsid w:val="00803104"/>
    <w:rsid w:val="00811238"/>
    <w:rsid w:val="00812901"/>
    <w:rsid w:val="0082265A"/>
    <w:rsid w:val="00826B9A"/>
    <w:rsid w:val="008348EF"/>
    <w:rsid w:val="00835E29"/>
    <w:rsid w:val="0084239E"/>
    <w:rsid w:val="00842757"/>
    <w:rsid w:val="00843CC2"/>
    <w:rsid w:val="0085266D"/>
    <w:rsid w:val="00854481"/>
    <w:rsid w:val="00857B05"/>
    <w:rsid w:val="00860DE1"/>
    <w:rsid w:val="008A30B8"/>
    <w:rsid w:val="008A5AA0"/>
    <w:rsid w:val="008A742B"/>
    <w:rsid w:val="008E1AD1"/>
    <w:rsid w:val="008E224D"/>
    <w:rsid w:val="008E31C0"/>
    <w:rsid w:val="008E461A"/>
    <w:rsid w:val="008E618F"/>
    <w:rsid w:val="008E6479"/>
    <w:rsid w:val="00905C46"/>
    <w:rsid w:val="0091113A"/>
    <w:rsid w:val="00922CB9"/>
    <w:rsid w:val="0092530B"/>
    <w:rsid w:val="009341A6"/>
    <w:rsid w:val="00934D82"/>
    <w:rsid w:val="0094208C"/>
    <w:rsid w:val="00942F17"/>
    <w:rsid w:val="00943013"/>
    <w:rsid w:val="00943236"/>
    <w:rsid w:val="00946C65"/>
    <w:rsid w:val="00952CEF"/>
    <w:rsid w:val="0095380D"/>
    <w:rsid w:val="00955421"/>
    <w:rsid w:val="00963C4E"/>
    <w:rsid w:val="00983BB9"/>
    <w:rsid w:val="0098775B"/>
    <w:rsid w:val="00990E9C"/>
    <w:rsid w:val="00994542"/>
    <w:rsid w:val="00994908"/>
    <w:rsid w:val="009A0880"/>
    <w:rsid w:val="009B160B"/>
    <w:rsid w:val="009B38C1"/>
    <w:rsid w:val="009B78FD"/>
    <w:rsid w:val="009C237B"/>
    <w:rsid w:val="009C72CB"/>
    <w:rsid w:val="009D24FD"/>
    <w:rsid w:val="009E5A93"/>
    <w:rsid w:val="009F3154"/>
    <w:rsid w:val="00A1211C"/>
    <w:rsid w:val="00A165EB"/>
    <w:rsid w:val="00A20113"/>
    <w:rsid w:val="00A20D78"/>
    <w:rsid w:val="00A2215F"/>
    <w:rsid w:val="00A22839"/>
    <w:rsid w:val="00A23E19"/>
    <w:rsid w:val="00A33185"/>
    <w:rsid w:val="00A365D6"/>
    <w:rsid w:val="00A4484A"/>
    <w:rsid w:val="00A463E5"/>
    <w:rsid w:val="00A53B04"/>
    <w:rsid w:val="00A661F4"/>
    <w:rsid w:val="00A66326"/>
    <w:rsid w:val="00A66405"/>
    <w:rsid w:val="00A7271A"/>
    <w:rsid w:val="00A81E19"/>
    <w:rsid w:val="00A85C4C"/>
    <w:rsid w:val="00AA0529"/>
    <w:rsid w:val="00AA0D00"/>
    <w:rsid w:val="00AA19B5"/>
    <w:rsid w:val="00AB051E"/>
    <w:rsid w:val="00AB1C6E"/>
    <w:rsid w:val="00AB4088"/>
    <w:rsid w:val="00AB795F"/>
    <w:rsid w:val="00AC6312"/>
    <w:rsid w:val="00AD1E77"/>
    <w:rsid w:val="00AD6D80"/>
    <w:rsid w:val="00AE2692"/>
    <w:rsid w:val="00B1160D"/>
    <w:rsid w:val="00B444E6"/>
    <w:rsid w:val="00B52011"/>
    <w:rsid w:val="00B53EFF"/>
    <w:rsid w:val="00B5476C"/>
    <w:rsid w:val="00B54AFA"/>
    <w:rsid w:val="00B662E8"/>
    <w:rsid w:val="00B671A4"/>
    <w:rsid w:val="00B766A3"/>
    <w:rsid w:val="00B804E8"/>
    <w:rsid w:val="00B8536C"/>
    <w:rsid w:val="00B857AB"/>
    <w:rsid w:val="00B920D8"/>
    <w:rsid w:val="00B979D2"/>
    <w:rsid w:val="00BB442F"/>
    <w:rsid w:val="00BB4D9F"/>
    <w:rsid w:val="00BC206C"/>
    <w:rsid w:val="00BC431A"/>
    <w:rsid w:val="00BC44D3"/>
    <w:rsid w:val="00C01A1C"/>
    <w:rsid w:val="00C01A35"/>
    <w:rsid w:val="00C03772"/>
    <w:rsid w:val="00C04EDA"/>
    <w:rsid w:val="00C119A2"/>
    <w:rsid w:val="00C13521"/>
    <w:rsid w:val="00C2179C"/>
    <w:rsid w:val="00C27D72"/>
    <w:rsid w:val="00C34921"/>
    <w:rsid w:val="00C373B9"/>
    <w:rsid w:val="00C37D19"/>
    <w:rsid w:val="00C50CC9"/>
    <w:rsid w:val="00C57267"/>
    <w:rsid w:val="00C616FF"/>
    <w:rsid w:val="00C62B63"/>
    <w:rsid w:val="00C72B5B"/>
    <w:rsid w:val="00C75523"/>
    <w:rsid w:val="00C80B5F"/>
    <w:rsid w:val="00C869F3"/>
    <w:rsid w:val="00CA1B3F"/>
    <w:rsid w:val="00CB553E"/>
    <w:rsid w:val="00CC15A6"/>
    <w:rsid w:val="00CC18AC"/>
    <w:rsid w:val="00CC2CEC"/>
    <w:rsid w:val="00CD7D5D"/>
    <w:rsid w:val="00CD7F59"/>
    <w:rsid w:val="00CE08B8"/>
    <w:rsid w:val="00CE3FA6"/>
    <w:rsid w:val="00CE7FC5"/>
    <w:rsid w:val="00CF0621"/>
    <w:rsid w:val="00CF0FC4"/>
    <w:rsid w:val="00CF6932"/>
    <w:rsid w:val="00D01FE3"/>
    <w:rsid w:val="00D02FAC"/>
    <w:rsid w:val="00D0381E"/>
    <w:rsid w:val="00D06CA3"/>
    <w:rsid w:val="00D07F46"/>
    <w:rsid w:val="00D170E5"/>
    <w:rsid w:val="00D37F2F"/>
    <w:rsid w:val="00D415B9"/>
    <w:rsid w:val="00D43D34"/>
    <w:rsid w:val="00D528E8"/>
    <w:rsid w:val="00D771D0"/>
    <w:rsid w:val="00D835CF"/>
    <w:rsid w:val="00D96D9B"/>
    <w:rsid w:val="00DA26FB"/>
    <w:rsid w:val="00DA36BE"/>
    <w:rsid w:val="00DA4E9A"/>
    <w:rsid w:val="00DB0B6A"/>
    <w:rsid w:val="00DB6C3D"/>
    <w:rsid w:val="00DC0191"/>
    <w:rsid w:val="00DC5ACF"/>
    <w:rsid w:val="00DD1F3A"/>
    <w:rsid w:val="00DD2040"/>
    <w:rsid w:val="00DD3573"/>
    <w:rsid w:val="00DD7468"/>
    <w:rsid w:val="00DE0A87"/>
    <w:rsid w:val="00DE25E9"/>
    <w:rsid w:val="00DE57E5"/>
    <w:rsid w:val="00DE71D3"/>
    <w:rsid w:val="00DE72CF"/>
    <w:rsid w:val="00DE7DE2"/>
    <w:rsid w:val="00DF08A0"/>
    <w:rsid w:val="00DF3B77"/>
    <w:rsid w:val="00E13BEF"/>
    <w:rsid w:val="00E418EB"/>
    <w:rsid w:val="00E56208"/>
    <w:rsid w:val="00E564F0"/>
    <w:rsid w:val="00E61D49"/>
    <w:rsid w:val="00E70760"/>
    <w:rsid w:val="00E73D71"/>
    <w:rsid w:val="00E75106"/>
    <w:rsid w:val="00E86702"/>
    <w:rsid w:val="00E9194F"/>
    <w:rsid w:val="00E9253C"/>
    <w:rsid w:val="00E93D75"/>
    <w:rsid w:val="00EB3CF0"/>
    <w:rsid w:val="00EB45B5"/>
    <w:rsid w:val="00EB5E57"/>
    <w:rsid w:val="00EB61DB"/>
    <w:rsid w:val="00EB6223"/>
    <w:rsid w:val="00EC2290"/>
    <w:rsid w:val="00ED1AD0"/>
    <w:rsid w:val="00ED4AFD"/>
    <w:rsid w:val="00ED4B12"/>
    <w:rsid w:val="00ED6776"/>
    <w:rsid w:val="00EE4FBE"/>
    <w:rsid w:val="00EE61FF"/>
    <w:rsid w:val="00EF037C"/>
    <w:rsid w:val="00EF56D6"/>
    <w:rsid w:val="00EF7088"/>
    <w:rsid w:val="00EF7779"/>
    <w:rsid w:val="00F038A1"/>
    <w:rsid w:val="00F06E4E"/>
    <w:rsid w:val="00F2782A"/>
    <w:rsid w:val="00F45FE9"/>
    <w:rsid w:val="00F51E01"/>
    <w:rsid w:val="00F5649A"/>
    <w:rsid w:val="00F654EC"/>
    <w:rsid w:val="00F65907"/>
    <w:rsid w:val="00F67DC5"/>
    <w:rsid w:val="00F711C3"/>
    <w:rsid w:val="00F80AD4"/>
    <w:rsid w:val="00F82342"/>
    <w:rsid w:val="00F877DB"/>
    <w:rsid w:val="00F91AE4"/>
    <w:rsid w:val="00F93C8B"/>
    <w:rsid w:val="00F959DD"/>
    <w:rsid w:val="00F960D5"/>
    <w:rsid w:val="00FB11D9"/>
    <w:rsid w:val="00FB1231"/>
    <w:rsid w:val="00FC1C5C"/>
    <w:rsid w:val="00FC4BA9"/>
    <w:rsid w:val="00FC5C50"/>
    <w:rsid w:val="00FE026F"/>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E8B24B"/>
  <w15:docId w15:val="{16CDA41C-5A0B-4123-AA6D-FD769187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4E9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locked/>
    <w:rsid w:val="004B70C7"/>
    <w:rPr>
      <w:rFonts w:ascii="Arial" w:hAnsi="Arial"/>
      <w:sz w:val="24"/>
      <w:lang w:eastAsia="en-US"/>
    </w:rPr>
  </w:style>
  <w:style w:type="paragraph" w:customStyle="1" w:styleId="Default">
    <w:name w:val="Default"/>
    <w:rsid w:val="004B70C7"/>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4B70C7"/>
    <w:rPr>
      <w:i/>
      <w:iCs/>
    </w:rPr>
  </w:style>
  <w:style w:type="character" w:customStyle="1" w:styleId="UnresolvedMention1">
    <w:name w:val="Unresolved Mention1"/>
    <w:basedOn w:val="DefaultParagraphFont"/>
    <w:uiPriority w:val="99"/>
    <w:semiHidden/>
    <w:unhideWhenUsed/>
    <w:rsid w:val="00AE2692"/>
    <w:rPr>
      <w:color w:val="605E5C"/>
      <w:shd w:val="clear" w:color="auto" w:fill="E1DFDD"/>
    </w:rPr>
  </w:style>
  <w:style w:type="character" w:styleId="CommentReference">
    <w:name w:val="annotation reference"/>
    <w:basedOn w:val="DefaultParagraphFont"/>
    <w:semiHidden/>
    <w:unhideWhenUsed/>
    <w:rsid w:val="0070438F"/>
    <w:rPr>
      <w:sz w:val="16"/>
      <w:szCs w:val="16"/>
    </w:rPr>
  </w:style>
  <w:style w:type="paragraph" w:styleId="CommentText">
    <w:name w:val="annotation text"/>
    <w:basedOn w:val="Normal"/>
    <w:link w:val="CommentTextChar"/>
    <w:semiHidden/>
    <w:unhideWhenUsed/>
    <w:rsid w:val="0070438F"/>
    <w:rPr>
      <w:sz w:val="20"/>
    </w:rPr>
  </w:style>
  <w:style w:type="character" w:customStyle="1" w:styleId="CommentTextChar">
    <w:name w:val="Comment Text Char"/>
    <w:basedOn w:val="DefaultParagraphFont"/>
    <w:link w:val="CommentText"/>
    <w:semiHidden/>
    <w:rsid w:val="0070438F"/>
    <w:rPr>
      <w:rFonts w:ascii="Arial" w:hAnsi="Arial"/>
      <w:lang w:eastAsia="en-US"/>
    </w:rPr>
  </w:style>
  <w:style w:type="paragraph" w:styleId="CommentSubject">
    <w:name w:val="annotation subject"/>
    <w:basedOn w:val="CommentText"/>
    <w:next w:val="CommentText"/>
    <w:link w:val="CommentSubjectChar"/>
    <w:semiHidden/>
    <w:unhideWhenUsed/>
    <w:rsid w:val="0070438F"/>
    <w:rPr>
      <w:b/>
      <w:bCs/>
    </w:rPr>
  </w:style>
  <w:style w:type="character" w:customStyle="1" w:styleId="CommentSubjectChar">
    <w:name w:val="Comment Subject Char"/>
    <w:basedOn w:val="CommentTextChar"/>
    <w:link w:val="CommentSubject"/>
    <w:semiHidden/>
    <w:rsid w:val="0070438F"/>
    <w:rPr>
      <w:rFonts w:ascii="Arial" w:hAnsi="Arial"/>
      <w:b/>
      <w:bCs/>
      <w:lang w:eastAsia="en-US"/>
    </w:rPr>
  </w:style>
  <w:style w:type="character" w:styleId="UnresolvedMention">
    <w:name w:val="Unresolved Mention"/>
    <w:basedOn w:val="DefaultParagraphFont"/>
    <w:uiPriority w:val="99"/>
    <w:semiHidden/>
    <w:unhideWhenUsed/>
    <w:rsid w:val="00566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877">
      <w:bodyDiv w:val="1"/>
      <w:marLeft w:val="0"/>
      <w:marRight w:val="0"/>
      <w:marTop w:val="0"/>
      <w:marBottom w:val="0"/>
      <w:divBdr>
        <w:top w:val="none" w:sz="0" w:space="0" w:color="auto"/>
        <w:left w:val="none" w:sz="0" w:space="0" w:color="auto"/>
        <w:bottom w:val="none" w:sz="0" w:space="0" w:color="auto"/>
        <w:right w:val="none" w:sz="0" w:space="0" w:color="auto"/>
      </w:divBdr>
    </w:div>
    <w:div w:id="64111071">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262687234">
      <w:bodyDiv w:val="1"/>
      <w:marLeft w:val="0"/>
      <w:marRight w:val="0"/>
      <w:marTop w:val="0"/>
      <w:marBottom w:val="0"/>
      <w:divBdr>
        <w:top w:val="none" w:sz="0" w:space="0" w:color="auto"/>
        <w:left w:val="none" w:sz="0" w:space="0" w:color="auto"/>
        <w:bottom w:val="none" w:sz="0" w:space="0" w:color="auto"/>
        <w:right w:val="none" w:sz="0" w:space="0" w:color="auto"/>
      </w:divBdr>
    </w:div>
    <w:div w:id="338047894">
      <w:bodyDiv w:val="1"/>
      <w:marLeft w:val="0"/>
      <w:marRight w:val="0"/>
      <w:marTop w:val="0"/>
      <w:marBottom w:val="0"/>
      <w:divBdr>
        <w:top w:val="none" w:sz="0" w:space="0" w:color="auto"/>
        <w:left w:val="none" w:sz="0" w:space="0" w:color="auto"/>
        <w:bottom w:val="none" w:sz="0" w:space="0" w:color="auto"/>
        <w:right w:val="none" w:sz="0" w:space="0" w:color="auto"/>
      </w:divBdr>
    </w:div>
    <w:div w:id="372777735">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40886095">
      <w:bodyDiv w:val="1"/>
      <w:marLeft w:val="0"/>
      <w:marRight w:val="0"/>
      <w:marTop w:val="0"/>
      <w:marBottom w:val="0"/>
      <w:divBdr>
        <w:top w:val="none" w:sz="0" w:space="0" w:color="auto"/>
        <w:left w:val="none" w:sz="0" w:space="0" w:color="auto"/>
        <w:bottom w:val="none" w:sz="0" w:space="0" w:color="auto"/>
        <w:right w:val="none" w:sz="0" w:space="0" w:color="auto"/>
      </w:divBdr>
    </w:div>
    <w:div w:id="647513360">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36531731">
      <w:bodyDiv w:val="1"/>
      <w:marLeft w:val="0"/>
      <w:marRight w:val="0"/>
      <w:marTop w:val="0"/>
      <w:marBottom w:val="0"/>
      <w:divBdr>
        <w:top w:val="none" w:sz="0" w:space="0" w:color="auto"/>
        <w:left w:val="none" w:sz="0" w:space="0" w:color="auto"/>
        <w:bottom w:val="none" w:sz="0" w:space="0" w:color="auto"/>
        <w:right w:val="none" w:sz="0" w:space="0" w:color="auto"/>
      </w:divBdr>
      <w:divsChild>
        <w:div w:id="706487520">
          <w:marLeft w:val="360"/>
          <w:marRight w:val="0"/>
          <w:marTop w:val="20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5645338">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18951254">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1324727">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274559305">
      <w:bodyDiv w:val="1"/>
      <w:marLeft w:val="0"/>
      <w:marRight w:val="0"/>
      <w:marTop w:val="0"/>
      <w:marBottom w:val="0"/>
      <w:divBdr>
        <w:top w:val="none" w:sz="0" w:space="0" w:color="auto"/>
        <w:left w:val="none" w:sz="0" w:space="0" w:color="auto"/>
        <w:bottom w:val="none" w:sz="0" w:space="0" w:color="auto"/>
        <w:right w:val="none" w:sz="0" w:space="0" w:color="auto"/>
      </w:divBdr>
    </w:div>
    <w:div w:id="1331641924">
      <w:bodyDiv w:val="1"/>
      <w:marLeft w:val="0"/>
      <w:marRight w:val="0"/>
      <w:marTop w:val="0"/>
      <w:marBottom w:val="0"/>
      <w:divBdr>
        <w:top w:val="none" w:sz="0" w:space="0" w:color="auto"/>
        <w:left w:val="none" w:sz="0" w:space="0" w:color="auto"/>
        <w:bottom w:val="none" w:sz="0" w:space="0" w:color="auto"/>
        <w:right w:val="none" w:sz="0" w:space="0" w:color="auto"/>
      </w:divBdr>
    </w:div>
    <w:div w:id="1376152329">
      <w:bodyDiv w:val="1"/>
      <w:marLeft w:val="0"/>
      <w:marRight w:val="0"/>
      <w:marTop w:val="0"/>
      <w:marBottom w:val="0"/>
      <w:divBdr>
        <w:top w:val="none" w:sz="0" w:space="0" w:color="auto"/>
        <w:left w:val="none" w:sz="0" w:space="0" w:color="auto"/>
        <w:bottom w:val="none" w:sz="0" w:space="0" w:color="auto"/>
        <w:right w:val="none" w:sz="0" w:space="0" w:color="auto"/>
      </w:divBdr>
    </w:div>
    <w:div w:id="1645164071">
      <w:bodyDiv w:val="1"/>
      <w:marLeft w:val="0"/>
      <w:marRight w:val="0"/>
      <w:marTop w:val="0"/>
      <w:marBottom w:val="0"/>
      <w:divBdr>
        <w:top w:val="none" w:sz="0" w:space="0" w:color="auto"/>
        <w:left w:val="none" w:sz="0" w:space="0" w:color="auto"/>
        <w:bottom w:val="none" w:sz="0" w:space="0" w:color="auto"/>
        <w:right w:val="none" w:sz="0" w:space="0" w:color="auto"/>
      </w:divBdr>
    </w:div>
    <w:div w:id="180561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ya.Ganatra@harrow.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3" ma:contentTypeDescription="Create a new document." ma:contentTypeScope="" ma:versionID="d7dc835c687383a41c3a513bcbf965c3">
  <xsd:schema xmlns:xsd="http://www.w3.org/2001/XMLSchema" xmlns:xs="http://www.w3.org/2001/XMLSchema" xmlns:p="http://schemas.microsoft.com/office/2006/metadata/properties" xmlns:ns3="c6bdeb93-2270-4bf7-9e85-6688a4728aea" xmlns:ns4="27de0dcf-7e4b-46ba-b260-4cfde2c33e74" targetNamespace="http://schemas.microsoft.com/office/2006/metadata/properties" ma:root="true" ma:fieldsID="754dd23b708667847aa80e538b999a5a" ns3:_="" ns4:_="">
    <xsd:import namespace="c6bdeb93-2270-4bf7-9e85-6688a4728aea"/>
    <xsd:import namespace="27de0dcf-7e4b-46ba-b260-4cfde2c33e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FEBA39B7-3481-4CFA-BFA0-2977CFE27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eb93-2270-4bf7-9e85-6688a4728aea"/>
    <ds:schemaRef ds:uri="27de0dcf-7e4b-46ba-b260-4cfde2c33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EAF2377-63BE-4880-91E2-4BE40942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18861</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Nikolova</cp:lastModifiedBy>
  <cp:revision>3</cp:revision>
  <cp:lastPrinted>2014-10-31T16:34:00Z</cp:lastPrinted>
  <dcterms:created xsi:type="dcterms:W3CDTF">2021-02-02T12:44:00Z</dcterms:created>
  <dcterms:modified xsi:type="dcterms:W3CDTF">2021-02-02T13:37:00Z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108;#Cabinet Report Template|b79b58f4-03f4-47dd-bec7-7bae4bc4af23</vt:lpwstr>
  </property>
</Properties>
</file>